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017" w:rsidRPr="00834017" w:rsidRDefault="005B6483" w:rsidP="00834017">
      <w:pPr>
        <w:spacing w:after="0" w:line="240" w:lineRule="auto"/>
        <w:rPr>
          <w:rFonts w:ascii="Arial" w:hAnsi="Arial" w:cs="Arial"/>
          <w:b/>
          <w:sz w:val="28"/>
          <w:szCs w:val="28"/>
        </w:rPr>
      </w:pPr>
      <w:bookmarkStart w:id="0" w:name="_GoBack"/>
      <w:bookmarkEnd w:id="0"/>
      <w:r>
        <w:rPr>
          <w:rFonts w:ascii="Arial" w:hAnsi="Arial" w:cs="Arial"/>
          <w:b/>
          <w:sz w:val="28"/>
          <w:szCs w:val="28"/>
        </w:rPr>
        <w:t>Off</w:t>
      </w:r>
      <w:r w:rsidR="00300A9F">
        <w:rPr>
          <w:rFonts w:ascii="Arial" w:hAnsi="Arial" w:cs="Arial"/>
          <w:b/>
          <w:sz w:val="28"/>
          <w:szCs w:val="28"/>
        </w:rPr>
        <w:t>-</w:t>
      </w:r>
      <w:r>
        <w:rPr>
          <w:rFonts w:ascii="Arial" w:hAnsi="Arial" w:cs="Arial"/>
          <w:b/>
          <w:sz w:val="28"/>
          <w:szCs w:val="28"/>
        </w:rPr>
        <w:t xml:space="preserve">taker of Last Resort Advisory Group – </w:t>
      </w:r>
      <w:r w:rsidR="00792DF4">
        <w:rPr>
          <w:rFonts w:ascii="Arial" w:hAnsi="Arial" w:cs="Arial"/>
          <w:b/>
          <w:sz w:val="28"/>
          <w:szCs w:val="28"/>
        </w:rPr>
        <w:t>Third</w:t>
      </w:r>
      <w:r>
        <w:rPr>
          <w:rFonts w:ascii="Arial" w:hAnsi="Arial" w:cs="Arial"/>
          <w:b/>
          <w:sz w:val="28"/>
          <w:szCs w:val="28"/>
        </w:rPr>
        <w:t xml:space="preserve"> Meeting</w:t>
      </w:r>
    </w:p>
    <w:p w:rsidR="00834017" w:rsidRPr="00834017" w:rsidRDefault="0061664A" w:rsidP="00834017">
      <w:pPr>
        <w:spacing w:after="0" w:line="240" w:lineRule="auto"/>
        <w:rPr>
          <w:rFonts w:ascii="Arial" w:hAnsi="Arial" w:cs="Arial"/>
          <w:b/>
          <w:sz w:val="28"/>
          <w:szCs w:val="28"/>
        </w:rPr>
      </w:pPr>
      <w:r>
        <w:rPr>
          <w:rFonts w:ascii="Arial" w:hAnsi="Arial" w:cs="Arial"/>
          <w:b/>
          <w:sz w:val="28"/>
          <w:szCs w:val="28"/>
        </w:rPr>
        <w:t>Wednesday</w:t>
      </w:r>
      <w:r w:rsidR="002F4A00">
        <w:rPr>
          <w:rFonts w:ascii="Arial" w:hAnsi="Arial" w:cs="Arial"/>
          <w:b/>
          <w:sz w:val="28"/>
          <w:szCs w:val="28"/>
        </w:rPr>
        <w:t xml:space="preserve"> </w:t>
      </w:r>
      <w:r w:rsidR="00792DF4">
        <w:rPr>
          <w:rFonts w:ascii="Arial" w:hAnsi="Arial" w:cs="Arial"/>
          <w:b/>
          <w:sz w:val="28"/>
          <w:szCs w:val="28"/>
        </w:rPr>
        <w:t>6</w:t>
      </w:r>
      <w:r w:rsidR="00792DF4" w:rsidRPr="00792DF4">
        <w:rPr>
          <w:rFonts w:ascii="Arial" w:hAnsi="Arial" w:cs="Arial"/>
          <w:b/>
          <w:sz w:val="28"/>
          <w:szCs w:val="28"/>
          <w:vertAlign w:val="superscript"/>
        </w:rPr>
        <w:t>th</w:t>
      </w:r>
      <w:r w:rsidR="00792DF4">
        <w:rPr>
          <w:rFonts w:ascii="Arial" w:hAnsi="Arial" w:cs="Arial"/>
          <w:b/>
          <w:sz w:val="28"/>
          <w:szCs w:val="28"/>
        </w:rPr>
        <w:t xml:space="preserve"> November 2013 15:00 – 17</w:t>
      </w:r>
      <w:r w:rsidR="00834017" w:rsidRPr="00834017">
        <w:rPr>
          <w:rFonts w:ascii="Arial" w:hAnsi="Arial" w:cs="Arial"/>
          <w:b/>
          <w:sz w:val="28"/>
          <w:szCs w:val="28"/>
        </w:rPr>
        <w:t>:</w:t>
      </w:r>
      <w:r w:rsidR="00743826">
        <w:rPr>
          <w:rFonts w:ascii="Arial" w:hAnsi="Arial" w:cs="Arial"/>
          <w:b/>
          <w:sz w:val="28"/>
          <w:szCs w:val="28"/>
        </w:rPr>
        <w:t>00</w:t>
      </w:r>
    </w:p>
    <w:p w:rsidR="000062F8" w:rsidRDefault="00D91ADA" w:rsidP="00D44139">
      <w:pPr>
        <w:spacing w:after="0" w:line="240" w:lineRule="auto"/>
        <w:rPr>
          <w:rFonts w:ascii="Arial" w:hAnsi="Arial" w:cs="Arial"/>
          <w:b/>
          <w:sz w:val="28"/>
          <w:szCs w:val="28"/>
        </w:rPr>
      </w:pPr>
      <w:r>
        <w:rPr>
          <w:rFonts w:ascii="Arial" w:hAnsi="Arial" w:cs="Arial"/>
          <w:b/>
          <w:sz w:val="28"/>
          <w:szCs w:val="28"/>
        </w:rPr>
        <w:t>Minutes and actions</w:t>
      </w:r>
    </w:p>
    <w:p w:rsidR="00533527" w:rsidRDefault="00533527" w:rsidP="00D44139">
      <w:pPr>
        <w:spacing w:after="0" w:line="240" w:lineRule="auto"/>
        <w:rPr>
          <w:rFonts w:ascii="Arial" w:hAnsi="Arial" w:cs="Arial"/>
          <w:b/>
          <w:sz w:val="28"/>
          <w:szCs w:val="28"/>
        </w:rPr>
      </w:pPr>
    </w:p>
    <w:p w:rsidR="00830BF1" w:rsidRPr="00533527" w:rsidRDefault="00830BF1" w:rsidP="00533527">
      <w:pPr>
        <w:spacing w:after="0" w:line="240" w:lineRule="auto"/>
        <w:rPr>
          <w:rFonts w:ascii="Arial" w:hAnsi="Arial" w:cs="Arial"/>
          <w:b/>
          <w:sz w:val="24"/>
          <w:szCs w:val="24"/>
        </w:rPr>
      </w:pPr>
      <w:r w:rsidRPr="00533527">
        <w:rPr>
          <w:rFonts w:ascii="Arial" w:hAnsi="Arial" w:cs="Arial"/>
          <w:b/>
          <w:sz w:val="24"/>
          <w:szCs w:val="24"/>
        </w:rPr>
        <w:t>Attendees:</w:t>
      </w:r>
    </w:p>
    <w:p w:rsidR="0045161A" w:rsidRDefault="0045161A" w:rsidP="0045161A">
      <w:pPr>
        <w:spacing w:after="0" w:line="240" w:lineRule="auto"/>
        <w:rPr>
          <w:rFonts w:ascii="Arial" w:hAnsi="Arial" w:cs="Arial"/>
          <w:b/>
          <w:sz w:val="24"/>
          <w:szCs w:val="24"/>
          <w:u w:val="single"/>
        </w:rPr>
      </w:pPr>
    </w:p>
    <w:p w:rsidR="0045161A" w:rsidRPr="00533527" w:rsidRDefault="0045161A" w:rsidP="0045161A">
      <w:pPr>
        <w:spacing w:after="0" w:line="240" w:lineRule="auto"/>
        <w:rPr>
          <w:rFonts w:ascii="Arial" w:hAnsi="Arial" w:cs="Arial"/>
          <w:b/>
          <w:sz w:val="24"/>
          <w:szCs w:val="24"/>
          <w:u w:val="single"/>
        </w:rPr>
      </w:pPr>
      <w:r>
        <w:rPr>
          <w:rFonts w:ascii="Arial" w:hAnsi="Arial" w:cs="Arial"/>
          <w:b/>
          <w:sz w:val="24"/>
          <w:szCs w:val="24"/>
          <w:u w:val="single"/>
        </w:rPr>
        <w:t>DECC attendees</w:t>
      </w:r>
      <w:r w:rsidRPr="00533527">
        <w:rPr>
          <w:rFonts w:ascii="Arial" w:hAnsi="Arial" w:cs="Arial"/>
          <w:b/>
          <w:sz w:val="24"/>
          <w:szCs w:val="24"/>
          <w:u w:val="single"/>
        </w:rPr>
        <w:t>:</w:t>
      </w:r>
    </w:p>
    <w:p w:rsidR="00103405" w:rsidRDefault="00103405" w:rsidP="0045161A">
      <w:pPr>
        <w:spacing w:after="0" w:line="240" w:lineRule="auto"/>
        <w:rPr>
          <w:rFonts w:ascii="Arial" w:hAnsi="Arial" w:cs="Arial"/>
          <w:sz w:val="24"/>
          <w:szCs w:val="24"/>
        </w:rPr>
        <w:sectPr w:rsidR="00103405" w:rsidSect="00EA1938">
          <w:headerReference w:type="default" r:id="rId9"/>
          <w:footerReference w:type="default" r:id="rId10"/>
          <w:type w:val="continuous"/>
          <w:pgSz w:w="11906" w:h="16838" w:code="9"/>
          <w:pgMar w:top="1440" w:right="1440" w:bottom="1440" w:left="851" w:header="709" w:footer="709" w:gutter="0"/>
          <w:cols w:space="708"/>
          <w:docGrid w:linePitch="360"/>
        </w:sectPr>
      </w:pPr>
    </w:p>
    <w:p w:rsidR="0045161A" w:rsidRDefault="002B6D5C" w:rsidP="0045161A">
      <w:pPr>
        <w:spacing w:after="0" w:line="240" w:lineRule="auto"/>
        <w:rPr>
          <w:rFonts w:ascii="Arial" w:hAnsi="Arial" w:cs="Arial"/>
          <w:sz w:val="24"/>
          <w:szCs w:val="24"/>
        </w:rPr>
      </w:pPr>
      <w:r>
        <w:rPr>
          <w:rFonts w:ascii="Arial" w:hAnsi="Arial" w:cs="Arial"/>
          <w:sz w:val="24"/>
          <w:szCs w:val="24"/>
        </w:rPr>
        <w:lastRenderedPageBreak/>
        <w:t>Alex Weir</w:t>
      </w:r>
      <w:r w:rsidR="0045161A">
        <w:rPr>
          <w:rFonts w:ascii="Arial" w:hAnsi="Arial" w:cs="Arial"/>
          <w:sz w:val="24"/>
          <w:szCs w:val="24"/>
        </w:rPr>
        <w:t xml:space="preserve"> (chair)</w:t>
      </w:r>
    </w:p>
    <w:p w:rsidR="002F4A00" w:rsidRDefault="002F4A00" w:rsidP="0045161A">
      <w:pPr>
        <w:spacing w:after="0" w:line="240" w:lineRule="auto"/>
        <w:rPr>
          <w:rFonts w:ascii="Arial" w:hAnsi="Arial" w:cs="Arial"/>
          <w:sz w:val="24"/>
          <w:szCs w:val="24"/>
        </w:rPr>
      </w:pPr>
      <w:r>
        <w:rPr>
          <w:rFonts w:ascii="Arial" w:hAnsi="Arial" w:cs="Arial"/>
          <w:sz w:val="24"/>
          <w:szCs w:val="24"/>
        </w:rPr>
        <w:t>Tim Warham</w:t>
      </w:r>
    </w:p>
    <w:p w:rsidR="0045161A" w:rsidRDefault="00923067" w:rsidP="0045161A">
      <w:pPr>
        <w:spacing w:after="0" w:line="240" w:lineRule="auto"/>
        <w:rPr>
          <w:rFonts w:ascii="Arial" w:hAnsi="Arial" w:cs="Arial"/>
          <w:sz w:val="24"/>
          <w:szCs w:val="24"/>
        </w:rPr>
      </w:pPr>
      <w:r>
        <w:rPr>
          <w:rFonts w:ascii="Arial" w:hAnsi="Arial" w:cs="Arial"/>
          <w:sz w:val="24"/>
          <w:szCs w:val="24"/>
        </w:rPr>
        <w:t>Darryl Croft</w:t>
      </w:r>
    </w:p>
    <w:p w:rsidR="00923067" w:rsidRDefault="00923067" w:rsidP="0045161A">
      <w:pPr>
        <w:spacing w:after="0" w:line="240" w:lineRule="auto"/>
        <w:rPr>
          <w:rFonts w:ascii="Arial" w:hAnsi="Arial" w:cs="Arial"/>
          <w:sz w:val="24"/>
          <w:szCs w:val="24"/>
        </w:rPr>
      </w:pPr>
      <w:r>
        <w:rPr>
          <w:rFonts w:ascii="Arial" w:hAnsi="Arial" w:cs="Arial"/>
          <w:sz w:val="24"/>
          <w:szCs w:val="24"/>
        </w:rPr>
        <w:lastRenderedPageBreak/>
        <w:t>Matt Coyne</w:t>
      </w:r>
    </w:p>
    <w:p w:rsidR="00103405" w:rsidRDefault="00103405" w:rsidP="0045161A">
      <w:pPr>
        <w:spacing w:after="0" w:line="240" w:lineRule="auto"/>
        <w:rPr>
          <w:rFonts w:ascii="Arial" w:hAnsi="Arial" w:cs="Arial"/>
          <w:sz w:val="24"/>
          <w:szCs w:val="24"/>
        </w:rPr>
      </w:pPr>
      <w:r>
        <w:rPr>
          <w:rFonts w:ascii="Arial" w:hAnsi="Arial" w:cs="Arial"/>
          <w:sz w:val="24"/>
          <w:szCs w:val="24"/>
        </w:rPr>
        <w:t>Adam Harper</w:t>
      </w:r>
    </w:p>
    <w:p w:rsidR="00103405" w:rsidRPr="00846EE2" w:rsidRDefault="00103405" w:rsidP="0045161A">
      <w:pPr>
        <w:spacing w:after="0" w:line="240" w:lineRule="auto"/>
        <w:rPr>
          <w:rFonts w:ascii="Arial" w:hAnsi="Arial" w:cs="Arial"/>
          <w:sz w:val="24"/>
          <w:szCs w:val="24"/>
        </w:rPr>
      </w:pPr>
      <w:r>
        <w:rPr>
          <w:rFonts w:ascii="Arial" w:hAnsi="Arial" w:cs="Arial"/>
          <w:sz w:val="24"/>
          <w:szCs w:val="24"/>
        </w:rPr>
        <w:t>Helena Crow</w:t>
      </w:r>
    </w:p>
    <w:p w:rsidR="00103405" w:rsidRDefault="00103405" w:rsidP="00533527">
      <w:pPr>
        <w:spacing w:after="0" w:line="240" w:lineRule="auto"/>
        <w:rPr>
          <w:rFonts w:ascii="Arial" w:hAnsi="Arial" w:cs="Arial"/>
          <w:b/>
          <w:sz w:val="24"/>
          <w:szCs w:val="24"/>
          <w:u w:val="single"/>
        </w:rPr>
        <w:sectPr w:rsidR="00103405" w:rsidSect="00103405">
          <w:type w:val="continuous"/>
          <w:pgSz w:w="11906" w:h="16838" w:code="9"/>
          <w:pgMar w:top="1440" w:right="1440" w:bottom="1440" w:left="851" w:header="709" w:footer="709" w:gutter="0"/>
          <w:cols w:num="2" w:space="708"/>
          <w:docGrid w:linePitch="360"/>
        </w:sectPr>
      </w:pPr>
    </w:p>
    <w:p w:rsidR="00533527" w:rsidRPr="00533527" w:rsidRDefault="00533527" w:rsidP="00533527">
      <w:pPr>
        <w:spacing w:after="0" w:line="240" w:lineRule="auto"/>
        <w:rPr>
          <w:rFonts w:ascii="Arial" w:hAnsi="Arial" w:cs="Arial"/>
          <w:b/>
          <w:sz w:val="24"/>
          <w:szCs w:val="24"/>
          <w:u w:val="single"/>
        </w:rPr>
      </w:pPr>
    </w:p>
    <w:p w:rsidR="00CE79F4" w:rsidRPr="00533527" w:rsidRDefault="00AF218C" w:rsidP="00533527">
      <w:pPr>
        <w:spacing w:after="0" w:line="240" w:lineRule="auto"/>
        <w:rPr>
          <w:rFonts w:ascii="Arial" w:hAnsi="Arial" w:cs="Arial"/>
          <w:b/>
          <w:sz w:val="24"/>
          <w:szCs w:val="24"/>
          <w:u w:val="single"/>
        </w:rPr>
      </w:pPr>
      <w:r>
        <w:rPr>
          <w:rFonts w:ascii="Arial" w:hAnsi="Arial" w:cs="Arial"/>
          <w:b/>
          <w:sz w:val="24"/>
          <w:szCs w:val="24"/>
          <w:u w:val="single"/>
        </w:rPr>
        <w:t xml:space="preserve">Advisory </w:t>
      </w:r>
      <w:r w:rsidR="00B378E4">
        <w:rPr>
          <w:rFonts w:ascii="Arial" w:hAnsi="Arial" w:cs="Arial"/>
          <w:b/>
          <w:sz w:val="24"/>
          <w:szCs w:val="24"/>
          <w:u w:val="single"/>
        </w:rPr>
        <w:t xml:space="preserve">Group </w:t>
      </w:r>
      <w:r>
        <w:rPr>
          <w:rFonts w:ascii="Arial" w:hAnsi="Arial" w:cs="Arial"/>
          <w:b/>
          <w:sz w:val="24"/>
          <w:szCs w:val="24"/>
          <w:u w:val="single"/>
        </w:rPr>
        <w:t>attendees</w:t>
      </w:r>
      <w:r w:rsidR="00CE79F4" w:rsidRPr="00533527">
        <w:rPr>
          <w:rFonts w:ascii="Arial" w:hAnsi="Arial" w:cs="Arial"/>
          <w:b/>
          <w:sz w:val="24"/>
          <w:szCs w:val="24"/>
          <w:u w:val="single"/>
        </w:rPr>
        <w:t>:</w:t>
      </w:r>
    </w:p>
    <w:p w:rsidR="008E26D6" w:rsidRDefault="008E26D6" w:rsidP="00533527">
      <w:pPr>
        <w:spacing w:after="0" w:line="240" w:lineRule="auto"/>
        <w:rPr>
          <w:rFonts w:ascii="Arial" w:hAnsi="Arial" w:cs="Arial"/>
          <w:sz w:val="24"/>
          <w:szCs w:val="24"/>
        </w:rPr>
      </w:pPr>
      <w:r>
        <w:rPr>
          <w:rFonts w:ascii="Arial" w:hAnsi="Arial" w:cs="Arial"/>
          <w:sz w:val="24"/>
          <w:szCs w:val="24"/>
        </w:rPr>
        <w:t>David Handley</w:t>
      </w:r>
      <w:r w:rsidR="00360739">
        <w:rPr>
          <w:rFonts w:ascii="Arial" w:hAnsi="Arial" w:cs="Arial"/>
          <w:sz w:val="24"/>
          <w:szCs w:val="24"/>
        </w:rPr>
        <w:t>, RES</w:t>
      </w:r>
    </w:p>
    <w:p w:rsidR="008E26D6" w:rsidRDefault="008E26D6" w:rsidP="00533527">
      <w:pPr>
        <w:spacing w:after="0" w:line="240" w:lineRule="auto"/>
        <w:rPr>
          <w:rFonts w:ascii="Arial" w:hAnsi="Arial" w:cs="Arial"/>
          <w:sz w:val="24"/>
          <w:szCs w:val="24"/>
        </w:rPr>
      </w:pPr>
      <w:r>
        <w:rPr>
          <w:rFonts w:ascii="Arial" w:hAnsi="Arial" w:cs="Arial"/>
          <w:sz w:val="24"/>
          <w:szCs w:val="24"/>
        </w:rPr>
        <w:t>Phil Broom</w:t>
      </w:r>
      <w:r w:rsidR="00360739">
        <w:rPr>
          <w:rFonts w:ascii="Arial" w:hAnsi="Arial" w:cs="Arial"/>
          <w:sz w:val="24"/>
          <w:szCs w:val="24"/>
        </w:rPr>
        <w:t>, GDF Suez</w:t>
      </w:r>
    </w:p>
    <w:p w:rsidR="008E26D6" w:rsidRDefault="00360739" w:rsidP="00533527">
      <w:pPr>
        <w:spacing w:after="0" w:line="240" w:lineRule="auto"/>
        <w:rPr>
          <w:rFonts w:ascii="Arial" w:hAnsi="Arial" w:cs="Arial"/>
          <w:sz w:val="24"/>
          <w:szCs w:val="24"/>
        </w:rPr>
      </w:pPr>
      <w:r w:rsidRPr="00360739">
        <w:rPr>
          <w:rFonts w:ascii="Arial" w:hAnsi="Arial" w:cs="Arial"/>
          <w:sz w:val="24"/>
          <w:szCs w:val="24"/>
        </w:rPr>
        <w:t>Keith Patterson, Brodies</w:t>
      </w:r>
      <w:r w:rsidR="008E26D6">
        <w:rPr>
          <w:rFonts w:ascii="Arial" w:hAnsi="Arial" w:cs="Arial"/>
          <w:sz w:val="24"/>
          <w:szCs w:val="24"/>
        </w:rPr>
        <w:t xml:space="preserve"> </w:t>
      </w:r>
    </w:p>
    <w:p w:rsidR="008E26D6" w:rsidRDefault="00360739" w:rsidP="00533527">
      <w:pPr>
        <w:spacing w:after="0" w:line="240" w:lineRule="auto"/>
        <w:rPr>
          <w:rFonts w:ascii="Arial" w:hAnsi="Arial" w:cs="Arial"/>
          <w:sz w:val="24"/>
          <w:szCs w:val="24"/>
        </w:rPr>
      </w:pPr>
      <w:r w:rsidRPr="00360739">
        <w:rPr>
          <w:rFonts w:ascii="Arial" w:hAnsi="Arial" w:cs="Arial"/>
          <w:sz w:val="24"/>
          <w:szCs w:val="24"/>
        </w:rPr>
        <w:t>Christian Pegrum, Eon</w:t>
      </w:r>
    </w:p>
    <w:p w:rsidR="005F6411" w:rsidRPr="00A124B1" w:rsidRDefault="005F6411" w:rsidP="005F6411">
      <w:pPr>
        <w:spacing w:after="0" w:line="240" w:lineRule="auto"/>
        <w:rPr>
          <w:rFonts w:ascii="Arial" w:hAnsi="Arial" w:cs="Arial"/>
          <w:sz w:val="24"/>
          <w:szCs w:val="24"/>
        </w:rPr>
      </w:pPr>
      <w:r w:rsidRPr="00A124B1">
        <w:rPr>
          <w:rFonts w:ascii="Arial" w:hAnsi="Arial" w:cs="Arial"/>
          <w:sz w:val="24"/>
          <w:szCs w:val="24"/>
        </w:rPr>
        <w:t>Martin Bell, Ofgem</w:t>
      </w:r>
    </w:p>
    <w:p w:rsidR="00360739" w:rsidRDefault="00360739" w:rsidP="00533527">
      <w:pPr>
        <w:spacing w:after="0" w:line="240" w:lineRule="auto"/>
        <w:rPr>
          <w:rFonts w:ascii="Arial" w:hAnsi="Arial" w:cs="Arial"/>
          <w:sz w:val="24"/>
          <w:szCs w:val="24"/>
        </w:rPr>
      </w:pPr>
      <w:r w:rsidRPr="00360739">
        <w:rPr>
          <w:rFonts w:ascii="Arial" w:hAnsi="Arial" w:cs="Arial"/>
          <w:sz w:val="24"/>
          <w:szCs w:val="24"/>
        </w:rPr>
        <w:t>Charlie Garrood, PwC</w:t>
      </w:r>
    </w:p>
    <w:p w:rsidR="002071A4" w:rsidRDefault="002071A4" w:rsidP="00533527">
      <w:pPr>
        <w:spacing w:after="0" w:line="240" w:lineRule="auto"/>
        <w:rPr>
          <w:rFonts w:ascii="Arial" w:hAnsi="Arial" w:cs="Arial"/>
          <w:sz w:val="24"/>
          <w:szCs w:val="24"/>
        </w:rPr>
      </w:pPr>
      <w:r w:rsidRPr="002071A4">
        <w:rPr>
          <w:rFonts w:ascii="Arial" w:hAnsi="Arial" w:cs="Arial"/>
          <w:sz w:val="24"/>
          <w:szCs w:val="24"/>
        </w:rPr>
        <w:t>Dima Rifai, Paradigm Change Capital Partners LLP</w:t>
      </w:r>
    </w:p>
    <w:p w:rsidR="00351649" w:rsidRDefault="00351649" w:rsidP="00533527">
      <w:pPr>
        <w:spacing w:after="0" w:line="240" w:lineRule="auto"/>
        <w:rPr>
          <w:rFonts w:ascii="Arial" w:hAnsi="Arial" w:cs="Arial"/>
          <w:sz w:val="24"/>
          <w:szCs w:val="24"/>
        </w:rPr>
      </w:pPr>
      <w:r>
        <w:rPr>
          <w:rFonts w:ascii="Arial" w:hAnsi="Arial" w:cs="Arial"/>
          <w:sz w:val="24"/>
          <w:szCs w:val="24"/>
        </w:rPr>
        <w:t>Maria Paz Garcia Alajarin, EDP Renewables</w:t>
      </w:r>
    </w:p>
    <w:p w:rsidR="00351649" w:rsidRDefault="00351649" w:rsidP="00533527">
      <w:pPr>
        <w:spacing w:after="0" w:line="240" w:lineRule="auto"/>
        <w:rPr>
          <w:rFonts w:ascii="Arial" w:hAnsi="Arial" w:cs="Arial"/>
          <w:sz w:val="24"/>
          <w:szCs w:val="24"/>
        </w:rPr>
      </w:pPr>
      <w:r>
        <w:rPr>
          <w:rFonts w:ascii="Arial" w:hAnsi="Arial" w:cs="Arial"/>
          <w:sz w:val="24"/>
          <w:szCs w:val="24"/>
        </w:rPr>
        <w:t>Andrew MacLellan, Energos</w:t>
      </w:r>
    </w:p>
    <w:p w:rsidR="00351649" w:rsidRDefault="00351649" w:rsidP="00533527">
      <w:pPr>
        <w:spacing w:after="0" w:line="240" w:lineRule="auto"/>
        <w:rPr>
          <w:rFonts w:ascii="Arial" w:hAnsi="Arial" w:cs="Arial"/>
          <w:sz w:val="24"/>
          <w:szCs w:val="24"/>
        </w:rPr>
      </w:pPr>
      <w:r>
        <w:rPr>
          <w:rFonts w:ascii="Arial" w:hAnsi="Arial" w:cs="Arial"/>
          <w:sz w:val="24"/>
          <w:szCs w:val="24"/>
        </w:rPr>
        <w:t>Ravi Baga, EDF</w:t>
      </w:r>
    </w:p>
    <w:p w:rsidR="00C72A23" w:rsidRDefault="00C72A23" w:rsidP="00533527">
      <w:pPr>
        <w:spacing w:after="0" w:line="240" w:lineRule="auto"/>
        <w:rPr>
          <w:rFonts w:ascii="Arial" w:hAnsi="Arial" w:cs="Arial"/>
          <w:sz w:val="24"/>
          <w:szCs w:val="24"/>
        </w:rPr>
      </w:pPr>
      <w:r>
        <w:rPr>
          <w:rFonts w:ascii="Arial" w:hAnsi="Arial" w:cs="Arial"/>
          <w:sz w:val="24"/>
          <w:szCs w:val="24"/>
        </w:rPr>
        <w:t>Stuart Noble, Scottish Power</w:t>
      </w:r>
    </w:p>
    <w:p w:rsidR="00D17655" w:rsidRDefault="00D17655" w:rsidP="00103405">
      <w:pPr>
        <w:spacing w:after="0" w:line="240" w:lineRule="auto"/>
        <w:rPr>
          <w:rFonts w:ascii="Arial" w:hAnsi="Arial" w:cs="Arial"/>
          <w:sz w:val="24"/>
          <w:szCs w:val="24"/>
        </w:rPr>
      </w:pPr>
      <w:r>
        <w:rPr>
          <w:rFonts w:ascii="Arial" w:hAnsi="Arial" w:cs="Arial"/>
          <w:sz w:val="24"/>
          <w:szCs w:val="24"/>
        </w:rPr>
        <w:t xml:space="preserve">Edward </w:t>
      </w:r>
      <w:r w:rsidRPr="00D17655">
        <w:rPr>
          <w:rFonts w:ascii="Arial" w:hAnsi="Arial" w:cs="Arial"/>
          <w:sz w:val="24"/>
          <w:szCs w:val="24"/>
        </w:rPr>
        <w:t>Crosthwaite</w:t>
      </w:r>
      <w:r>
        <w:rPr>
          <w:rFonts w:ascii="Arial" w:hAnsi="Arial" w:cs="Arial"/>
          <w:sz w:val="24"/>
          <w:szCs w:val="24"/>
        </w:rPr>
        <w:t xml:space="preserve"> </w:t>
      </w:r>
      <w:r w:rsidRPr="00D17655">
        <w:rPr>
          <w:rFonts w:ascii="Arial" w:hAnsi="Arial" w:cs="Arial"/>
          <w:sz w:val="24"/>
          <w:szCs w:val="24"/>
        </w:rPr>
        <w:t>Eyre</w:t>
      </w:r>
      <w:r>
        <w:rPr>
          <w:rFonts w:ascii="Arial" w:hAnsi="Arial" w:cs="Arial"/>
          <w:sz w:val="24"/>
          <w:szCs w:val="24"/>
        </w:rPr>
        <w:t>, Baringa</w:t>
      </w:r>
    </w:p>
    <w:p w:rsidR="00D17655" w:rsidRPr="00C365AD" w:rsidRDefault="00D17655" w:rsidP="00103405">
      <w:pPr>
        <w:spacing w:after="0" w:line="240" w:lineRule="auto"/>
        <w:rPr>
          <w:rFonts w:ascii="Arial" w:hAnsi="Arial" w:cs="Arial"/>
          <w:sz w:val="24"/>
          <w:szCs w:val="24"/>
        </w:rPr>
      </w:pPr>
    </w:p>
    <w:p w:rsidR="002071A4" w:rsidRPr="002071A4" w:rsidRDefault="00E3095F" w:rsidP="002071A4">
      <w:pPr>
        <w:spacing w:after="0" w:line="240" w:lineRule="auto"/>
        <w:rPr>
          <w:rFonts w:ascii="Arial" w:hAnsi="Arial" w:cs="Arial"/>
          <w:b/>
          <w:sz w:val="24"/>
          <w:szCs w:val="24"/>
          <w:u w:val="single"/>
        </w:rPr>
      </w:pPr>
      <w:r w:rsidRPr="00E052B7">
        <w:rPr>
          <w:rFonts w:ascii="Arial" w:hAnsi="Arial" w:cs="Arial"/>
          <w:b/>
          <w:sz w:val="24"/>
          <w:szCs w:val="24"/>
          <w:u w:val="single"/>
        </w:rPr>
        <w:t>Apologies:</w:t>
      </w:r>
    </w:p>
    <w:p w:rsidR="002071A4" w:rsidRPr="00A124B1" w:rsidRDefault="002071A4" w:rsidP="002071A4">
      <w:pPr>
        <w:spacing w:after="0" w:line="240" w:lineRule="auto"/>
        <w:rPr>
          <w:rFonts w:ascii="Arial" w:hAnsi="Arial" w:cs="Arial"/>
          <w:sz w:val="24"/>
          <w:szCs w:val="24"/>
        </w:rPr>
      </w:pPr>
      <w:r w:rsidRPr="00A124B1">
        <w:rPr>
          <w:rFonts w:ascii="Arial" w:hAnsi="Arial" w:cs="Arial"/>
          <w:sz w:val="24"/>
          <w:szCs w:val="24"/>
        </w:rPr>
        <w:t xml:space="preserve">Simon Proctor, Good Energy </w:t>
      </w:r>
    </w:p>
    <w:p w:rsidR="002071A4" w:rsidRPr="00A124B1" w:rsidRDefault="002071A4" w:rsidP="002071A4">
      <w:pPr>
        <w:spacing w:after="0" w:line="240" w:lineRule="auto"/>
        <w:rPr>
          <w:rFonts w:ascii="Arial" w:hAnsi="Arial" w:cs="Arial"/>
          <w:sz w:val="24"/>
          <w:szCs w:val="24"/>
        </w:rPr>
      </w:pPr>
      <w:r w:rsidRPr="00A124B1">
        <w:rPr>
          <w:rFonts w:ascii="Arial" w:hAnsi="Arial" w:cs="Arial"/>
          <w:sz w:val="24"/>
          <w:szCs w:val="24"/>
        </w:rPr>
        <w:t>Nick Gardiner, BNP Paribas</w:t>
      </w:r>
    </w:p>
    <w:p w:rsidR="002071A4" w:rsidRPr="00A124B1" w:rsidRDefault="002071A4" w:rsidP="002071A4">
      <w:pPr>
        <w:spacing w:after="0" w:line="240" w:lineRule="auto"/>
        <w:rPr>
          <w:rFonts w:ascii="Arial" w:hAnsi="Arial" w:cs="Arial"/>
          <w:sz w:val="24"/>
          <w:szCs w:val="24"/>
        </w:rPr>
      </w:pPr>
      <w:r w:rsidRPr="00A124B1">
        <w:rPr>
          <w:rFonts w:ascii="Arial" w:hAnsi="Arial" w:cs="Arial"/>
          <w:sz w:val="24"/>
          <w:szCs w:val="24"/>
        </w:rPr>
        <w:t>Robert Owens, Smartest Energy</w:t>
      </w:r>
    </w:p>
    <w:p w:rsidR="002071A4" w:rsidRPr="00A124B1" w:rsidRDefault="002071A4" w:rsidP="002071A4">
      <w:pPr>
        <w:spacing w:after="0" w:line="240" w:lineRule="auto"/>
        <w:rPr>
          <w:rFonts w:ascii="Arial" w:hAnsi="Arial" w:cs="Arial"/>
          <w:sz w:val="24"/>
          <w:szCs w:val="24"/>
        </w:rPr>
      </w:pPr>
      <w:r w:rsidRPr="00A124B1">
        <w:rPr>
          <w:rFonts w:ascii="Arial" w:hAnsi="Arial" w:cs="Arial"/>
          <w:sz w:val="24"/>
          <w:szCs w:val="24"/>
        </w:rPr>
        <w:t>Konstantin Suplatov, PwC</w:t>
      </w:r>
    </w:p>
    <w:p w:rsidR="002071A4" w:rsidRPr="00A124B1" w:rsidRDefault="002071A4" w:rsidP="002071A4">
      <w:pPr>
        <w:spacing w:after="0" w:line="240" w:lineRule="auto"/>
        <w:rPr>
          <w:rFonts w:ascii="Arial" w:hAnsi="Arial" w:cs="Arial"/>
          <w:sz w:val="24"/>
          <w:szCs w:val="24"/>
        </w:rPr>
      </w:pPr>
      <w:r w:rsidRPr="00A124B1">
        <w:rPr>
          <w:rFonts w:ascii="Arial" w:hAnsi="Arial" w:cs="Arial"/>
          <w:sz w:val="24"/>
          <w:szCs w:val="24"/>
        </w:rPr>
        <w:t>Ben Cosh, Green Company</w:t>
      </w:r>
    </w:p>
    <w:p w:rsidR="00292E94" w:rsidRPr="00D44139" w:rsidRDefault="00292E94" w:rsidP="00D44139">
      <w:pPr>
        <w:spacing w:after="0" w:line="240" w:lineRule="auto"/>
        <w:rPr>
          <w:rFonts w:ascii="Arial" w:hAnsi="Arial" w:cs="Arial"/>
          <w:b/>
          <w:sz w:val="28"/>
          <w:szCs w:val="28"/>
        </w:rPr>
      </w:pPr>
    </w:p>
    <w:tbl>
      <w:tblPr>
        <w:tblpPr w:leftFromText="180" w:rightFromText="180" w:vertAnchor="text" w:horzAnchor="margin" w:tblpX="-68" w:tblpY="248"/>
        <w:tblW w:w="10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493"/>
        <w:gridCol w:w="324"/>
        <w:gridCol w:w="2796"/>
        <w:gridCol w:w="39"/>
        <w:gridCol w:w="1752"/>
        <w:gridCol w:w="2642"/>
        <w:gridCol w:w="60"/>
        <w:gridCol w:w="224"/>
        <w:gridCol w:w="1843"/>
        <w:gridCol w:w="635"/>
      </w:tblGrid>
      <w:tr w:rsidR="00EA1938" w:rsidRPr="00072629" w:rsidTr="00281636">
        <w:trPr>
          <w:trHeight w:val="843"/>
        </w:trPr>
        <w:tc>
          <w:tcPr>
            <w:tcW w:w="493" w:type="dxa"/>
            <w:shd w:val="clear" w:color="auto" w:fill="FFFFFF"/>
          </w:tcPr>
          <w:p w:rsidR="00657DA3" w:rsidRPr="00072629" w:rsidRDefault="00657DA3" w:rsidP="00EA1938">
            <w:pPr>
              <w:pStyle w:val="ListParagraph"/>
              <w:numPr>
                <w:ilvl w:val="0"/>
                <w:numId w:val="1"/>
              </w:numPr>
              <w:spacing w:after="0" w:line="240" w:lineRule="auto"/>
              <w:ind w:left="426" w:hanging="426"/>
              <w:rPr>
                <w:rFonts w:ascii="Arial" w:hAnsi="Arial" w:cs="Arial"/>
                <w:sz w:val="24"/>
                <w:szCs w:val="24"/>
              </w:rPr>
            </w:pPr>
          </w:p>
        </w:tc>
        <w:tc>
          <w:tcPr>
            <w:tcW w:w="3120" w:type="dxa"/>
            <w:gridSpan w:val="2"/>
            <w:shd w:val="clear" w:color="auto" w:fill="FFFFFF"/>
          </w:tcPr>
          <w:p w:rsidR="00657DA3" w:rsidRPr="00072629" w:rsidRDefault="00994B61" w:rsidP="00EA1938">
            <w:pPr>
              <w:pStyle w:val="ListParagraph"/>
              <w:spacing w:after="0" w:line="240" w:lineRule="auto"/>
              <w:ind w:left="0"/>
              <w:rPr>
                <w:rFonts w:ascii="Arial" w:hAnsi="Arial" w:cs="Arial"/>
                <w:b/>
                <w:sz w:val="24"/>
                <w:szCs w:val="24"/>
              </w:rPr>
            </w:pPr>
            <w:r>
              <w:rPr>
                <w:rFonts w:ascii="Arial" w:hAnsi="Arial" w:cs="Arial"/>
                <w:b/>
                <w:sz w:val="24"/>
                <w:szCs w:val="24"/>
              </w:rPr>
              <w:t>Timing of Access</w:t>
            </w:r>
          </w:p>
        </w:tc>
        <w:tc>
          <w:tcPr>
            <w:tcW w:w="4717" w:type="dxa"/>
            <w:gridSpan w:val="5"/>
            <w:shd w:val="clear" w:color="auto" w:fill="FFFFFF"/>
          </w:tcPr>
          <w:p w:rsidR="00657DA3" w:rsidRPr="00072629" w:rsidRDefault="00994B61" w:rsidP="00994B61">
            <w:pPr>
              <w:pStyle w:val="ListParagraph"/>
              <w:spacing w:after="0" w:line="240" w:lineRule="auto"/>
              <w:ind w:left="0"/>
              <w:rPr>
                <w:rFonts w:ascii="Arial" w:hAnsi="Arial" w:cs="Arial"/>
                <w:b/>
                <w:sz w:val="24"/>
                <w:szCs w:val="24"/>
              </w:rPr>
            </w:pPr>
            <w:r>
              <w:rPr>
                <w:rFonts w:ascii="Arial" w:hAnsi="Arial" w:cs="Arial"/>
                <w:b/>
                <w:sz w:val="24"/>
                <w:szCs w:val="24"/>
              </w:rPr>
              <w:t>Paper 3.01</w:t>
            </w:r>
            <w:r w:rsidR="00103405">
              <w:rPr>
                <w:rFonts w:ascii="Arial" w:hAnsi="Arial" w:cs="Arial"/>
                <w:b/>
                <w:sz w:val="24"/>
                <w:szCs w:val="24"/>
              </w:rPr>
              <w:t xml:space="preserve"> </w:t>
            </w:r>
            <w:r>
              <w:rPr>
                <w:rFonts w:ascii="Arial" w:hAnsi="Arial" w:cs="Arial"/>
                <w:b/>
                <w:sz w:val="24"/>
                <w:szCs w:val="24"/>
              </w:rPr>
              <w:t>Timing of Access</w:t>
            </w:r>
          </w:p>
        </w:tc>
        <w:tc>
          <w:tcPr>
            <w:tcW w:w="1843" w:type="dxa"/>
            <w:shd w:val="clear" w:color="auto" w:fill="FFFFFF"/>
          </w:tcPr>
          <w:p w:rsidR="00657DA3" w:rsidRPr="00072629" w:rsidRDefault="00994B61" w:rsidP="00EA1938">
            <w:pPr>
              <w:spacing w:after="0" w:line="240" w:lineRule="auto"/>
              <w:rPr>
                <w:rFonts w:ascii="Arial" w:hAnsi="Arial" w:cs="Arial"/>
                <w:b/>
                <w:sz w:val="24"/>
                <w:szCs w:val="24"/>
              </w:rPr>
            </w:pPr>
            <w:r>
              <w:rPr>
                <w:rFonts w:ascii="Arial" w:hAnsi="Arial" w:cs="Arial"/>
                <w:b/>
                <w:sz w:val="24"/>
                <w:szCs w:val="24"/>
              </w:rPr>
              <w:t>Darryl Croft</w:t>
            </w:r>
          </w:p>
        </w:tc>
        <w:tc>
          <w:tcPr>
            <w:tcW w:w="635" w:type="dxa"/>
            <w:shd w:val="clear" w:color="auto" w:fill="FFFFFF"/>
          </w:tcPr>
          <w:p w:rsidR="00657DA3" w:rsidRPr="00072629" w:rsidRDefault="00657DA3" w:rsidP="00EA1938">
            <w:pPr>
              <w:pStyle w:val="ListParagraph"/>
              <w:spacing w:after="0" w:line="240" w:lineRule="auto"/>
              <w:ind w:left="0"/>
              <w:rPr>
                <w:rFonts w:ascii="Arial" w:hAnsi="Arial" w:cs="Arial"/>
                <w:b/>
                <w:sz w:val="24"/>
                <w:szCs w:val="24"/>
              </w:rPr>
            </w:pPr>
          </w:p>
        </w:tc>
      </w:tr>
      <w:tr w:rsidR="00EA1938" w:rsidRPr="00072629" w:rsidTr="00281636">
        <w:tc>
          <w:tcPr>
            <w:tcW w:w="10808" w:type="dxa"/>
            <w:gridSpan w:val="10"/>
            <w:shd w:val="clear" w:color="auto" w:fill="FFFFFF"/>
          </w:tcPr>
          <w:p w:rsidR="003053C3" w:rsidRDefault="003053C3" w:rsidP="00EA1938">
            <w:pPr>
              <w:spacing w:after="0" w:line="240" w:lineRule="auto"/>
              <w:rPr>
                <w:rFonts w:ascii="Arial" w:hAnsi="Arial" w:cs="Arial"/>
                <w:sz w:val="24"/>
                <w:szCs w:val="24"/>
              </w:rPr>
            </w:pPr>
            <w:bookmarkStart w:id="1" w:name="_Hlk322415470"/>
          </w:p>
          <w:p w:rsidR="003053C3" w:rsidRPr="00CC4DB5" w:rsidRDefault="00103405" w:rsidP="00CC4DB5">
            <w:pPr>
              <w:spacing w:after="0"/>
              <w:rPr>
                <w:rFonts w:ascii="Arial" w:hAnsi="Arial" w:cs="Arial"/>
                <w:sz w:val="24"/>
                <w:szCs w:val="24"/>
              </w:rPr>
            </w:pPr>
            <w:r>
              <w:rPr>
                <w:rFonts w:ascii="Arial" w:hAnsi="Arial" w:cs="Arial"/>
                <w:sz w:val="24"/>
                <w:szCs w:val="24"/>
              </w:rPr>
              <w:t xml:space="preserve">After </w:t>
            </w:r>
            <w:r w:rsidRPr="00CC4DB5">
              <w:rPr>
                <w:rFonts w:ascii="Arial" w:hAnsi="Arial" w:cs="Arial"/>
                <w:sz w:val="24"/>
                <w:szCs w:val="24"/>
              </w:rPr>
              <w:t>introductions</w:t>
            </w:r>
            <w:r w:rsidR="00AF2DEF">
              <w:rPr>
                <w:rFonts w:ascii="Arial" w:hAnsi="Arial" w:cs="Arial"/>
                <w:sz w:val="24"/>
                <w:szCs w:val="24"/>
              </w:rPr>
              <w:t>,</w:t>
            </w:r>
            <w:r w:rsidRPr="00CC4DB5">
              <w:rPr>
                <w:rFonts w:ascii="Arial" w:hAnsi="Arial" w:cs="Arial"/>
                <w:sz w:val="24"/>
                <w:szCs w:val="24"/>
              </w:rPr>
              <w:t xml:space="preserve"> </w:t>
            </w:r>
            <w:r w:rsidR="007D093A">
              <w:rPr>
                <w:rFonts w:ascii="Arial" w:hAnsi="Arial" w:cs="Arial"/>
                <w:sz w:val="24"/>
                <w:szCs w:val="24"/>
              </w:rPr>
              <w:t>Darryl Croft (DC</w:t>
            </w:r>
            <w:r w:rsidRPr="00CC4DB5">
              <w:rPr>
                <w:rFonts w:ascii="Arial" w:hAnsi="Arial" w:cs="Arial"/>
                <w:sz w:val="24"/>
                <w:szCs w:val="24"/>
              </w:rPr>
              <w:t xml:space="preserve">) </w:t>
            </w:r>
            <w:r w:rsidR="008E37A9" w:rsidRPr="00CC4DB5">
              <w:rPr>
                <w:rFonts w:ascii="Arial" w:hAnsi="Arial" w:cs="Arial"/>
                <w:sz w:val="24"/>
                <w:szCs w:val="24"/>
              </w:rPr>
              <w:t xml:space="preserve">presented </w:t>
            </w:r>
            <w:r w:rsidR="007D093A">
              <w:rPr>
                <w:rFonts w:ascii="Arial" w:hAnsi="Arial" w:cs="Arial"/>
                <w:sz w:val="24"/>
                <w:szCs w:val="24"/>
              </w:rPr>
              <w:t>paper 3.01</w:t>
            </w:r>
            <w:r w:rsidR="008E37A9" w:rsidRPr="00CC4DB5">
              <w:rPr>
                <w:rFonts w:ascii="Arial" w:hAnsi="Arial" w:cs="Arial"/>
                <w:sz w:val="24"/>
                <w:szCs w:val="24"/>
              </w:rPr>
              <w:t xml:space="preserve"> on the proposal</w:t>
            </w:r>
            <w:r w:rsidRPr="00CC4DB5">
              <w:rPr>
                <w:rFonts w:ascii="Arial" w:hAnsi="Arial" w:cs="Arial"/>
                <w:sz w:val="24"/>
                <w:szCs w:val="24"/>
              </w:rPr>
              <w:t xml:space="preserve"> for the </w:t>
            </w:r>
            <w:r w:rsidR="007D093A">
              <w:rPr>
                <w:rFonts w:ascii="Arial" w:hAnsi="Arial" w:cs="Arial"/>
                <w:sz w:val="24"/>
                <w:szCs w:val="24"/>
              </w:rPr>
              <w:t>timing of access to</w:t>
            </w:r>
            <w:r w:rsidRPr="00CC4DB5">
              <w:rPr>
                <w:rFonts w:ascii="Arial" w:hAnsi="Arial" w:cs="Arial"/>
                <w:sz w:val="24"/>
                <w:szCs w:val="24"/>
              </w:rPr>
              <w:t xml:space="preserve"> the </w:t>
            </w:r>
            <w:r w:rsidR="008E37A9" w:rsidRPr="00CC4DB5">
              <w:rPr>
                <w:rFonts w:ascii="Arial" w:hAnsi="Arial" w:cs="Arial"/>
                <w:sz w:val="24"/>
                <w:szCs w:val="24"/>
              </w:rPr>
              <w:t>off</w:t>
            </w:r>
            <w:r w:rsidR="00300A9F">
              <w:rPr>
                <w:rFonts w:ascii="Arial" w:hAnsi="Arial" w:cs="Arial"/>
                <w:sz w:val="24"/>
                <w:szCs w:val="24"/>
              </w:rPr>
              <w:t>-</w:t>
            </w:r>
            <w:r w:rsidR="008E37A9" w:rsidRPr="00CC4DB5">
              <w:rPr>
                <w:rFonts w:ascii="Arial" w:hAnsi="Arial" w:cs="Arial"/>
                <w:sz w:val="24"/>
                <w:szCs w:val="24"/>
              </w:rPr>
              <w:t>taker of last resort</w:t>
            </w:r>
            <w:r w:rsidRPr="00CC4DB5">
              <w:rPr>
                <w:rFonts w:ascii="Arial" w:hAnsi="Arial" w:cs="Arial"/>
                <w:sz w:val="24"/>
                <w:szCs w:val="24"/>
              </w:rPr>
              <w:t xml:space="preserve"> mechanism. </w:t>
            </w:r>
          </w:p>
          <w:p w:rsidR="008E37A9" w:rsidRPr="00CC4DB5" w:rsidRDefault="008E37A9" w:rsidP="00CC4DB5">
            <w:pPr>
              <w:spacing w:after="0"/>
              <w:rPr>
                <w:rFonts w:ascii="Arial" w:hAnsi="Arial" w:cs="Arial"/>
                <w:sz w:val="24"/>
                <w:szCs w:val="24"/>
              </w:rPr>
            </w:pPr>
          </w:p>
          <w:p w:rsidR="007D093A" w:rsidRDefault="00AF218C" w:rsidP="00CC4DB5">
            <w:pPr>
              <w:spacing w:after="0"/>
              <w:rPr>
                <w:rFonts w:ascii="Arial" w:hAnsi="Arial" w:cs="Arial"/>
                <w:sz w:val="24"/>
                <w:szCs w:val="24"/>
              </w:rPr>
            </w:pPr>
            <w:r>
              <w:rPr>
                <w:rFonts w:ascii="Arial" w:hAnsi="Arial" w:cs="Arial"/>
                <w:sz w:val="24"/>
                <w:szCs w:val="24"/>
              </w:rPr>
              <w:t>T</w:t>
            </w:r>
            <w:r w:rsidR="00334C07">
              <w:rPr>
                <w:rFonts w:ascii="Arial" w:hAnsi="Arial" w:cs="Arial"/>
                <w:sz w:val="24"/>
                <w:szCs w:val="24"/>
              </w:rPr>
              <w:t xml:space="preserve">he following </w:t>
            </w:r>
            <w:r w:rsidR="008E37A9" w:rsidRPr="00CC4DB5">
              <w:rPr>
                <w:rFonts w:ascii="Arial" w:hAnsi="Arial" w:cs="Arial"/>
                <w:sz w:val="24"/>
                <w:szCs w:val="24"/>
              </w:rPr>
              <w:t xml:space="preserve">points </w:t>
            </w:r>
            <w:r>
              <w:rPr>
                <w:rFonts w:ascii="Arial" w:hAnsi="Arial" w:cs="Arial"/>
                <w:sz w:val="24"/>
                <w:szCs w:val="24"/>
              </w:rPr>
              <w:t xml:space="preserve">were </w:t>
            </w:r>
            <w:r w:rsidR="008E37A9" w:rsidRPr="00CC4DB5">
              <w:rPr>
                <w:rFonts w:ascii="Arial" w:hAnsi="Arial" w:cs="Arial"/>
                <w:sz w:val="24"/>
                <w:szCs w:val="24"/>
              </w:rPr>
              <w:t>raised</w:t>
            </w:r>
            <w:r>
              <w:rPr>
                <w:rFonts w:ascii="Arial" w:hAnsi="Arial" w:cs="Arial"/>
                <w:sz w:val="24"/>
                <w:szCs w:val="24"/>
              </w:rPr>
              <w:t xml:space="preserve"> in </w:t>
            </w:r>
            <w:r w:rsidR="007D093A">
              <w:rPr>
                <w:rFonts w:ascii="Arial" w:hAnsi="Arial" w:cs="Arial"/>
                <w:sz w:val="24"/>
                <w:szCs w:val="24"/>
              </w:rPr>
              <w:t>the discussion of</w:t>
            </w:r>
            <w:r>
              <w:rPr>
                <w:rFonts w:ascii="Arial" w:hAnsi="Arial" w:cs="Arial"/>
                <w:sz w:val="24"/>
                <w:szCs w:val="24"/>
              </w:rPr>
              <w:t xml:space="preserve"> options for </w:t>
            </w:r>
            <w:r w:rsidR="007D093A">
              <w:rPr>
                <w:rFonts w:ascii="Arial" w:hAnsi="Arial" w:cs="Arial"/>
                <w:sz w:val="24"/>
                <w:szCs w:val="24"/>
              </w:rPr>
              <w:t>timing of access:</w:t>
            </w:r>
          </w:p>
          <w:p w:rsidR="008E37A9" w:rsidRPr="00281636" w:rsidRDefault="007A6741" w:rsidP="00281636">
            <w:pPr>
              <w:numPr>
                <w:ilvl w:val="0"/>
                <w:numId w:val="39"/>
              </w:numPr>
              <w:spacing w:after="0"/>
              <w:rPr>
                <w:rFonts w:ascii="Arial" w:hAnsi="Arial" w:cs="Arial"/>
                <w:sz w:val="24"/>
                <w:szCs w:val="24"/>
              </w:rPr>
            </w:pPr>
            <w:r>
              <w:rPr>
                <w:rFonts w:ascii="Arial" w:hAnsi="Arial" w:cs="Arial"/>
                <w:sz w:val="24"/>
                <w:szCs w:val="24"/>
              </w:rPr>
              <w:t>A</w:t>
            </w:r>
            <w:r w:rsidR="008D6CEC">
              <w:rPr>
                <w:rFonts w:ascii="Arial" w:hAnsi="Arial" w:cs="Arial"/>
                <w:sz w:val="24"/>
                <w:szCs w:val="24"/>
              </w:rPr>
              <w:t>greement</w:t>
            </w:r>
            <w:r w:rsidR="007D093A">
              <w:rPr>
                <w:rFonts w:ascii="Arial" w:hAnsi="Arial" w:cs="Arial"/>
                <w:sz w:val="24"/>
                <w:szCs w:val="24"/>
              </w:rPr>
              <w:t xml:space="preserve"> that there </w:t>
            </w:r>
            <w:r w:rsidR="00FA0B2F">
              <w:rPr>
                <w:rFonts w:ascii="Arial" w:hAnsi="Arial" w:cs="Arial"/>
                <w:sz w:val="24"/>
                <w:szCs w:val="24"/>
              </w:rPr>
              <w:t>is likely to</w:t>
            </w:r>
            <w:r w:rsidR="007D093A">
              <w:rPr>
                <w:rFonts w:ascii="Arial" w:hAnsi="Arial" w:cs="Arial"/>
                <w:sz w:val="24"/>
                <w:szCs w:val="24"/>
              </w:rPr>
              <w:t xml:space="preserve"> be </w:t>
            </w:r>
            <w:r w:rsidR="008D6CEC">
              <w:rPr>
                <w:rFonts w:ascii="Arial" w:hAnsi="Arial" w:cs="Arial"/>
                <w:sz w:val="24"/>
                <w:szCs w:val="24"/>
              </w:rPr>
              <w:t>little</w:t>
            </w:r>
            <w:r w:rsidR="007D093A">
              <w:rPr>
                <w:rFonts w:ascii="Arial" w:hAnsi="Arial" w:cs="Arial"/>
                <w:sz w:val="24"/>
                <w:szCs w:val="24"/>
              </w:rPr>
              <w:t xml:space="preserve"> impact on generators if Backstop PPAs cannot be accessed for a period of time after the allocation of CfDs commences, provided </w:t>
            </w:r>
            <w:r w:rsidR="00A26236">
              <w:rPr>
                <w:rFonts w:ascii="Arial" w:hAnsi="Arial" w:cs="Arial"/>
                <w:sz w:val="24"/>
                <w:szCs w:val="24"/>
              </w:rPr>
              <w:t xml:space="preserve">the OLR discounts are set and the design of the OLR contract is locked down by the time CfD allocation commences.  DECC confirmed that it </w:t>
            </w:r>
            <w:r w:rsidR="008D6CEC">
              <w:rPr>
                <w:rFonts w:ascii="Arial" w:hAnsi="Arial" w:cs="Arial"/>
                <w:sz w:val="24"/>
                <w:szCs w:val="24"/>
              </w:rPr>
              <w:t>intend</w:t>
            </w:r>
            <w:r w:rsidR="008E26D6">
              <w:rPr>
                <w:rFonts w:ascii="Arial" w:hAnsi="Arial" w:cs="Arial"/>
                <w:sz w:val="24"/>
                <w:szCs w:val="24"/>
              </w:rPr>
              <w:t>s</w:t>
            </w:r>
            <w:r w:rsidR="008D6CEC">
              <w:rPr>
                <w:rFonts w:ascii="Arial" w:hAnsi="Arial" w:cs="Arial"/>
                <w:sz w:val="24"/>
                <w:szCs w:val="24"/>
              </w:rPr>
              <w:t xml:space="preserve"> </w:t>
            </w:r>
            <w:r w:rsidR="00A26236">
              <w:rPr>
                <w:rFonts w:ascii="Arial" w:hAnsi="Arial" w:cs="Arial"/>
                <w:sz w:val="24"/>
                <w:szCs w:val="24"/>
              </w:rPr>
              <w:t xml:space="preserve">to set the OLR discounts in Q2 2014, after the consultation stage, and to publish the OLR contract alongside secondary legislation, which is also expected to be in Q2 2014.  </w:t>
            </w:r>
          </w:p>
          <w:p w:rsidR="00E52038" w:rsidRPr="0009761D" w:rsidRDefault="007A6741" w:rsidP="00E52038">
            <w:pPr>
              <w:numPr>
                <w:ilvl w:val="0"/>
                <w:numId w:val="39"/>
              </w:numPr>
              <w:spacing w:after="0"/>
              <w:rPr>
                <w:rFonts w:ascii="Arial" w:hAnsi="Arial" w:cs="Arial"/>
                <w:sz w:val="24"/>
                <w:szCs w:val="24"/>
              </w:rPr>
            </w:pPr>
            <w:r>
              <w:rPr>
                <w:rFonts w:ascii="Arial" w:hAnsi="Arial" w:cs="Arial"/>
                <w:sz w:val="24"/>
                <w:szCs w:val="24"/>
              </w:rPr>
              <w:lastRenderedPageBreak/>
              <w:t>A</w:t>
            </w:r>
            <w:r w:rsidR="008D6CEC">
              <w:rPr>
                <w:rFonts w:ascii="Arial" w:hAnsi="Arial" w:cs="Arial"/>
                <w:sz w:val="24"/>
                <w:szCs w:val="24"/>
              </w:rPr>
              <w:t>greement</w:t>
            </w:r>
            <w:r w:rsidR="0009761D">
              <w:rPr>
                <w:rFonts w:ascii="Arial" w:hAnsi="Arial" w:cs="Arial"/>
                <w:sz w:val="24"/>
                <w:szCs w:val="24"/>
              </w:rPr>
              <w:t xml:space="preserve"> that the earliest </w:t>
            </w:r>
            <w:r w:rsidR="00FA0B2F">
              <w:rPr>
                <w:rFonts w:ascii="Arial" w:hAnsi="Arial" w:cs="Arial"/>
                <w:sz w:val="24"/>
                <w:szCs w:val="24"/>
              </w:rPr>
              <w:t xml:space="preserve">that </w:t>
            </w:r>
            <w:r w:rsidR="0009761D">
              <w:rPr>
                <w:rFonts w:ascii="Arial" w:hAnsi="Arial" w:cs="Arial"/>
                <w:sz w:val="24"/>
                <w:szCs w:val="24"/>
              </w:rPr>
              <w:t xml:space="preserve">generators would need to access the backstop PPA would be the start of 2016, as </w:t>
            </w:r>
            <w:r w:rsidR="008E26D6">
              <w:rPr>
                <w:rFonts w:ascii="Arial" w:hAnsi="Arial" w:cs="Arial"/>
                <w:sz w:val="24"/>
                <w:szCs w:val="24"/>
              </w:rPr>
              <w:t xml:space="preserve">it is unlikely any projects would have reached </w:t>
            </w:r>
            <w:r w:rsidR="0009761D">
              <w:rPr>
                <w:rFonts w:ascii="Arial" w:hAnsi="Arial" w:cs="Arial"/>
                <w:sz w:val="24"/>
                <w:szCs w:val="24"/>
              </w:rPr>
              <w:t>financial clos</w:t>
            </w:r>
            <w:r w:rsidR="008E26D6">
              <w:rPr>
                <w:rFonts w:ascii="Arial" w:hAnsi="Arial" w:cs="Arial"/>
                <w:sz w:val="24"/>
                <w:szCs w:val="24"/>
              </w:rPr>
              <w:t>e and completed construction before this date</w:t>
            </w:r>
            <w:r w:rsidR="0009761D">
              <w:rPr>
                <w:rFonts w:ascii="Arial" w:hAnsi="Arial" w:cs="Arial"/>
                <w:sz w:val="24"/>
                <w:szCs w:val="24"/>
              </w:rPr>
              <w:t xml:space="preserve">. </w:t>
            </w:r>
          </w:p>
          <w:p w:rsidR="00F600C7" w:rsidRDefault="008D6CEC" w:rsidP="00CE081A">
            <w:pPr>
              <w:numPr>
                <w:ilvl w:val="0"/>
                <w:numId w:val="39"/>
              </w:numPr>
              <w:spacing w:after="0"/>
              <w:rPr>
                <w:rFonts w:ascii="Arial" w:hAnsi="Arial" w:cs="Arial"/>
                <w:sz w:val="24"/>
                <w:szCs w:val="24"/>
              </w:rPr>
            </w:pPr>
            <w:r>
              <w:rPr>
                <w:rFonts w:ascii="Arial" w:hAnsi="Arial" w:cs="Arial"/>
                <w:sz w:val="24"/>
                <w:szCs w:val="24"/>
              </w:rPr>
              <w:t>M</w:t>
            </w:r>
            <w:r w:rsidR="00162590">
              <w:rPr>
                <w:rFonts w:ascii="Arial" w:hAnsi="Arial" w:cs="Arial"/>
                <w:sz w:val="24"/>
                <w:szCs w:val="24"/>
              </w:rPr>
              <w:t xml:space="preserve">ixed views on whether a generator would want or need to access the OLR during the early years of output.  Arguments in favour of making the OLR available during these early years </w:t>
            </w:r>
            <w:r w:rsidR="009159AA">
              <w:rPr>
                <w:rFonts w:ascii="Arial" w:hAnsi="Arial" w:cs="Arial"/>
                <w:sz w:val="24"/>
                <w:szCs w:val="24"/>
              </w:rPr>
              <w:t xml:space="preserve">were that generators wishing </w:t>
            </w:r>
            <w:r w:rsidR="00162590">
              <w:rPr>
                <w:rFonts w:ascii="Arial" w:hAnsi="Arial" w:cs="Arial"/>
                <w:sz w:val="24"/>
                <w:szCs w:val="24"/>
              </w:rPr>
              <w:t>to participate in the short-term PPA market</w:t>
            </w:r>
            <w:r w:rsidR="009159AA">
              <w:rPr>
                <w:rFonts w:ascii="Arial" w:hAnsi="Arial" w:cs="Arial"/>
                <w:sz w:val="24"/>
                <w:szCs w:val="24"/>
              </w:rPr>
              <w:t xml:space="preserve"> would get better deals if they could sign such PPAs shortly before commissioning, rather than at financial close. This would</w:t>
            </w:r>
            <w:r w:rsidR="00162590">
              <w:rPr>
                <w:rFonts w:ascii="Arial" w:hAnsi="Arial" w:cs="Arial"/>
                <w:sz w:val="24"/>
                <w:szCs w:val="24"/>
              </w:rPr>
              <w:t xml:space="preserve"> provid</w:t>
            </w:r>
            <w:r w:rsidR="009159AA">
              <w:rPr>
                <w:rFonts w:ascii="Arial" w:hAnsi="Arial" w:cs="Arial"/>
                <w:sz w:val="24"/>
                <w:szCs w:val="24"/>
              </w:rPr>
              <w:t>e generators</w:t>
            </w:r>
            <w:r w:rsidR="00162590">
              <w:rPr>
                <w:rFonts w:ascii="Arial" w:hAnsi="Arial" w:cs="Arial"/>
                <w:sz w:val="24"/>
                <w:szCs w:val="24"/>
              </w:rPr>
              <w:t xml:space="preserve"> with greater flexibility.</w:t>
            </w:r>
            <w:r w:rsidR="00FE64E7">
              <w:rPr>
                <w:rFonts w:ascii="Arial" w:hAnsi="Arial" w:cs="Arial"/>
                <w:sz w:val="24"/>
                <w:szCs w:val="24"/>
              </w:rPr>
              <w:t xml:space="preserve"> </w:t>
            </w:r>
            <w:r w:rsidR="00F600C7">
              <w:rPr>
                <w:rFonts w:ascii="Arial" w:hAnsi="Arial" w:cs="Arial"/>
                <w:sz w:val="24"/>
                <w:szCs w:val="24"/>
              </w:rPr>
              <w:t xml:space="preserve">In addition, having a backstop PPA from the outset allows aggregators to play a role at an earlier stage.  </w:t>
            </w:r>
            <w:r w:rsidR="00FE64E7">
              <w:rPr>
                <w:rFonts w:ascii="Arial" w:hAnsi="Arial" w:cs="Arial"/>
                <w:sz w:val="24"/>
                <w:szCs w:val="24"/>
              </w:rPr>
              <w:t xml:space="preserve">Arguments in favour of </w:t>
            </w:r>
            <w:r w:rsidR="00FE64E7" w:rsidRPr="00FE64E7">
              <w:rPr>
                <w:rFonts w:ascii="Arial" w:hAnsi="Arial" w:cs="Arial"/>
                <w:sz w:val="24"/>
                <w:szCs w:val="24"/>
                <w:u w:val="single"/>
              </w:rPr>
              <w:t>not</w:t>
            </w:r>
            <w:r w:rsidR="00FE64E7" w:rsidRPr="0089779C">
              <w:rPr>
                <w:rFonts w:ascii="Arial" w:hAnsi="Arial" w:cs="Arial"/>
                <w:sz w:val="24"/>
                <w:szCs w:val="24"/>
              </w:rPr>
              <w:t xml:space="preserve"> </w:t>
            </w:r>
            <w:r w:rsidR="00FE64E7">
              <w:rPr>
                <w:rFonts w:ascii="Arial" w:hAnsi="Arial" w:cs="Arial"/>
                <w:sz w:val="24"/>
                <w:szCs w:val="24"/>
              </w:rPr>
              <w:t>making the OLR available during these early years included the fact that lenders</w:t>
            </w:r>
            <w:r w:rsidR="00F600C7">
              <w:rPr>
                <w:rFonts w:ascii="Arial" w:hAnsi="Arial" w:cs="Arial"/>
                <w:sz w:val="24"/>
                <w:szCs w:val="24"/>
              </w:rPr>
              <w:t xml:space="preserve"> are</w:t>
            </w:r>
            <w:r w:rsidR="00FE64E7">
              <w:rPr>
                <w:rFonts w:ascii="Arial" w:hAnsi="Arial" w:cs="Arial"/>
                <w:sz w:val="24"/>
                <w:szCs w:val="24"/>
              </w:rPr>
              <w:t xml:space="preserve"> still </w:t>
            </w:r>
            <w:r w:rsidR="00F600C7">
              <w:rPr>
                <w:rFonts w:ascii="Arial" w:hAnsi="Arial" w:cs="Arial"/>
                <w:sz w:val="24"/>
                <w:szCs w:val="24"/>
              </w:rPr>
              <w:t>likely to</w:t>
            </w:r>
            <w:r w:rsidR="00FE64E7">
              <w:rPr>
                <w:rFonts w:ascii="Arial" w:hAnsi="Arial" w:cs="Arial"/>
                <w:sz w:val="24"/>
                <w:szCs w:val="24"/>
              </w:rPr>
              <w:t xml:space="preserve"> require a PPA with a bankable counterparty to be in place before they release funds, regardless of whether there</w:t>
            </w:r>
            <w:r w:rsidR="00F600C7">
              <w:rPr>
                <w:rFonts w:ascii="Arial" w:hAnsi="Arial" w:cs="Arial"/>
                <w:sz w:val="24"/>
                <w:szCs w:val="24"/>
              </w:rPr>
              <w:t xml:space="preserve"> is a backstop PPA </w:t>
            </w:r>
            <w:r w:rsidR="0058183B">
              <w:rPr>
                <w:rFonts w:ascii="Arial" w:hAnsi="Arial" w:cs="Arial"/>
                <w:sz w:val="24"/>
                <w:szCs w:val="24"/>
              </w:rPr>
              <w:t>available</w:t>
            </w:r>
            <w:r w:rsidR="00F600C7">
              <w:rPr>
                <w:rFonts w:ascii="Arial" w:hAnsi="Arial" w:cs="Arial"/>
                <w:sz w:val="24"/>
                <w:szCs w:val="24"/>
              </w:rPr>
              <w:t>, as they are unlikely to rely on backstop PPAs from the outset.  In addition, not having an OLR in place immediately may enable a better assessment of how well the PPA market is functioning under CfDs.</w:t>
            </w:r>
          </w:p>
          <w:p w:rsidR="00E52038" w:rsidRPr="00CE081A" w:rsidRDefault="008D6CEC" w:rsidP="00CE081A">
            <w:pPr>
              <w:numPr>
                <w:ilvl w:val="0"/>
                <w:numId w:val="39"/>
              </w:numPr>
              <w:spacing w:after="0"/>
              <w:rPr>
                <w:rFonts w:ascii="Arial" w:hAnsi="Arial" w:cs="Arial"/>
                <w:sz w:val="24"/>
                <w:szCs w:val="24"/>
              </w:rPr>
            </w:pPr>
            <w:r>
              <w:rPr>
                <w:rFonts w:ascii="Arial" w:hAnsi="Arial" w:cs="Arial"/>
                <w:sz w:val="24"/>
                <w:szCs w:val="24"/>
              </w:rPr>
              <w:t xml:space="preserve">The possibility </w:t>
            </w:r>
            <w:r w:rsidR="009159AA">
              <w:rPr>
                <w:rFonts w:ascii="Arial" w:hAnsi="Arial" w:cs="Arial"/>
                <w:sz w:val="24"/>
                <w:szCs w:val="24"/>
              </w:rPr>
              <w:t xml:space="preserve">was raised </w:t>
            </w:r>
            <w:r>
              <w:rPr>
                <w:rFonts w:ascii="Arial" w:hAnsi="Arial" w:cs="Arial"/>
                <w:sz w:val="24"/>
                <w:szCs w:val="24"/>
              </w:rPr>
              <w:t>of having different access conditions for the backstop PPA from day one</w:t>
            </w:r>
            <w:r w:rsidR="00586832">
              <w:rPr>
                <w:rFonts w:ascii="Arial" w:hAnsi="Arial" w:cs="Arial"/>
                <w:sz w:val="24"/>
                <w:szCs w:val="24"/>
              </w:rPr>
              <w:t xml:space="preserve"> – f</w:t>
            </w:r>
            <w:r>
              <w:rPr>
                <w:rFonts w:ascii="Arial" w:hAnsi="Arial" w:cs="Arial"/>
                <w:sz w:val="24"/>
                <w:szCs w:val="24"/>
              </w:rPr>
              <w:t xml:space="preserve">or example, by </w:t>
            </w:r>
            <w:r w:rsidR="009159AA">
              <w:rPr>
                <w:rFonts w:ascii="Arial" w:hAnsi="Arial" w:cs="Arial"/>
                <w:sz w:val="24"/>
                <w:szCs w:val="24"/>
              </w:rPr>
              <w:t xml:space="preserve">only </w:t>
            </w:r>
            <w:r>
              <w:rPr>
                <w:rFonts w:ascii="Arial" w:hAnsi="Arial" w:cs="Arial"/>
                <w:sz w:val="24"/>
                <w:szCs w:val="24"/>
              </w:rPr>
              <w:t xml:space="preserve">making it available for </w:t>
            </w:r>
            <w:r w:rsidR="009159AA">
              <w:rPr>
                <w:rFonts w:ascii="Arial" w:hAnsi="Arial" w:cs="Arial"/>
                <w:sz w:val="24"/>
                <w:szCs w:val="24"/>
              </w:rPr>
              <w:t xml:space="preserve">situations where a generator’s PPA provider had become </w:t>
            </w:r>
            <w:r>
              <w:rPr>
                <w:rFonts w:ascii="Arial" w:hAnsi="Arial" w:cs="Arial"/>
                <w:sz w:val="24"/>
                <w:szCs w:val="24"/>
              </w:rPr>
              <w:t>insolven</w:t>
            </w:r>
            <w:r w:rsidR="009159AA">
              <w:rPr>
                <w:rFonts w:ascii="Arial" w:hAnsi="Arial" w:cs="Arial"/>
                <w:sz w:val="24"/>
                <w:szCs w:val="24"/>
              </w:rPr>
              <w:t>t</w:t>
            </w:r>
            <w:r>
              <w:rPr>
                <w:rFonts w:ascii="Arial" w:hAnsi="Arial" w:cs="Arial"/>
                <w:sz w:val="24"/>
                <w:szCs w:val="24"/>
              </w:rPr>
              <w:t xml:space="preserve">. </w:t>
            </w:r>
            <w:r w:rsidR="00F600C7">
              <w:rPr>
                <w:rFonts w:ascii="Arial" w:hAnsi="Arial" w:cs="Arial"/>
                <w:sz w:val="24"/>
                <w:szCs w:val="24"/>
              </w:rPr>
              <w:t xml:space="preserve"> </w:t>
            </w:r>
            <w:r w:rsidR="00FE64E7">
              <w:rPr>
                <w:rFonts w:ascii="Arial" w:hAnsi="Arial" w:cs="Arial"/>
                <w:sz w:val="24"/>
                <w:szCs w:val="24"/>
              </w:rPr>
              <w:t xml:space="preserve">    </w:t>
            </w:r>
            <w:r w:rsidR="00162590">
              <w:rPr>
                <w:rFonts w:ascii="Arial" w:hAnsi="Arial" w:cs="Arial"/>
                <w:sz w:val="24"/>
                <w:szCs w:val="24"/>
              </w:rPr>
              <w:t xml:space="preserve">  </w:t>
            </w:r>
          </w:p>
          <w:p w:rsidR="00BA4D06" w:rsidRPr="00185E3C" w:rsidRDefault="00BA4D06" w:rsidP="00EA1938">
            <w:pPr>
              <w:spacing w:after="0" w:line="240" w:lineRule="auto"/>
              <w:rPr>
                <w:rFonts w:ascii="Arial" w:hAnsi="Arial" w:cs="Arial"/>
                <w:sz w:val="24"/>
                <w:szCs w:val="24"/>
              </w:rPr>
            </w:pPr>
          </w:p>
        </w:tc>
      </w:tr>
      <w:bookmarkEnd w:id="1"/>
      <w:tr w:rsidR="00EA1938" w:rsidRPr="00072629" w:rsidTr="00281636">
        <w:trPr>
          <w:trHeight w:val="715"/>
        </w:trPr>
        <w:tc>
          <w:tcPr>
            <w:tcW w:w="817" w:type="dxa"/>
            <w:gridSpan w:val="2"/>
            <w:shd w:val="clear" w:color="auto" w:fill="FFFFFF"/>
          </w:tcPr>
          <w:p w:rsidR="00834017" w:rsidRPr="00072629" w:rsidRDefault="00834017" w:rsidP="00EA1938">
            <w:pPr>
              <w:pStyle w:val="ListParagraph"/>
              <w:numPr>
                <w:ilvl w:val="0"/>
                <w:numId w:val="1"/>
              </w:numPr>
              <w:spacing w:after="0" w:line="240" w:lineRule="auto"/>
              <w:ind w:left="426" w:hanging="426"/>
              <w:rPr>
                <w:rFonts w:ascii="Arial" w:hAnsi="Arial" w:cs="Arial"/>
                <w:sz w:val="24"/>
                <w:szCs w:val="24"/>
              </w:rPr>
            </w:pPr>
          </w:p>
        </w:tc>
        <w:tc>
          <w:tcPr>
            <w:tcW w:w="2796" w:type="dxa"/>
            <w:shd w:val="clear" w:color="auto" w:fill="FFFFFF"/>
          </w:tcPr>
          <w:p w:rsidR="00834017" w:rsidRPr="00E6341C" w:rsidRDefault="00300A9F" w:rsidP="00206BE5">
            <w:pPr>
              <w:rPr>
                <w:rFonts w:ascii="Arial" w:hAnsi="Arial" w:cs="Arial"/>
                <w:b/>
                <w:sz w:val="24"/>
                <w:szCs w:val="24"/>
              </w:rPr>
            </w:pPr>
            <w:r>
              <w:rPr>
                <w:rFonts w:ascii="Arial" w:hAnsi="Arial" w:cs="Arial"/>
                <w:b/>
                <w:sz w:val="24"/>
                <w:szCs w:val="24"/>
              </w:rPr>
              <w:t>Conditions of Access</w:t>
            </w:r>
          </w:p>
        </w:tc>
        <w:tc>
          <w:tcPr>
            <w:tcW w:w="4717" w:type="dxa"/>
            <w:gridSpan w:val="5"/>
            <w:shd w:val="clear" w:color="auto" w:fill="FFFFFF"/>
          </w:tcPr>
          <w:p w:rsidR="001451A4" w:rsidRPr="00E6341C" w:rsidRDefault="00300A9F" w:rsidP="00300A9F">
            <w:pPr>
              <w:pStyle w:val="ListParagraph"/>
              <w:spacing w:line="240" w:lineRule="auto"/>
              <w:ind w:left="0"/>
              <w:rPr>
                <w:rFonts w:ascii="Arial" w:hAnsi="Arial" w:cs="Arial"/>
                <w:b/>
                <w:sz w:val="24"/>
                <w:szCs w:val="24"/>
              </w:rPr>
            </w:pPr>
            <w:r>
              <w:rPr>
                <w:rFonts w:ascii="Arial" w:hAnsi="Arial" w:cs="Arial"/>
                <w:b/>
                <w:sz w:val="24"/>
                <w:szCs w:val="24"/>
              </w:rPr>
              <w:t>Paper 3</w:t>
            </w:r>
            <w:r w:rsidR="0061664A">
              <w:rPr>
                <w:rFonts w:ascii="Arial" w:hAnsi="Arial" w:cs="Arial"/>
                <w:b/>
                <w:sz w:val="24"/>
                <w:szCs w:val="24"/>
              </w:rPr>
              <w:t>.0</w:t>
            </w:r>
            <w:r>
              <w:rPr>
                <w:rFonts w:ascii="Arial" w:hAnsi="Arial" w:cs="Arial"/>
                <w:b/>
                <w:sz w:val="24"/>
                <w:szCs w:val="24"/>
              </w:rPr>
              <w:t>2</w:t>
            </w:r>
            <w:r w:rsidR="0061664A">
              <w:rPr>
                <w:rFonts w:ascii="Arial" w:hAnsi="Arial" w:cs="Arial"/>
                <w:b/>
                <w:sz w:val="24"/>
                <w:szCs w:val="24"/>
              </w:rPr>
              <w:t xml:space="preserve"> </w:t>
            </w:r>
            <w:r>
              <w:rPr>
                <w:rFonts w:ascii="Arial" w:hAnsi="Arial" w:cs="Arial"/>
                <w:b/>
                <w:sz w:val="24"/>
                <w:szCs w:val="24"/>
              </w:rPr>
              <w:t>Conditions of Access</w:t>
            </w:r>
          </w:p>
        </w:tc>
        <w:tc>
          <w:tcPr>
            <w:tcW w:w="1843" w:type="dxa"/>
            <w:shd w:val="clear" w:color="auto" w:fill="FFFFFF"/>
          </w:tcPr>
          <w:p w:rsidR="00834017" w:rsidRPr="00E6341C" w:rsidRDefault="00A45D20" w:rsidP="00A45D20">
            <w:pPr>
              <w:spacing w:after="0" w:line="240" w:lineRule="auto"/>
              <w:rPr>
                <w:rFonts w:ascii="Arial" w:hAnsi="Arial" w:cs="Arial"/>
                <w:b/>
                <w:sz w:val="24"/>
                <w:szCs w:val="24"/>
              </w:rPr>
            </w:pPr>
            <w:r>
              <w:rPr>
                <w:rFonts w:ascii="Arial" w:hAnsi="Arial" w:cs="Arial"/>
                <w:b/>
                <w:sz w:val="24"/>
                <w:szCs w:val="24"/>
              </w:rPr>
              <w:t>Darryl Croft</w:t>
            </w:r>
          </w:p>
        </w:tc>
        <w:tc>
          <w:tcPr>
            <w:tcW w:w="635" w:type="dxa"/>
            <w:shd w:val="clear" w:color="auto" w:fill="FFFFFF"/>
          </w:tcPr>
          <w:p w:rsidR="00834017" w:rsidRPr="00994A42" w:rsidRDefault="00834017" w:rsidP="00EA1938">
            <w:pPr>
              <w:spacing w:after="0" w:line="240" w:lineRule="auto"/>
              <w:rPr>
                <w:rFonts w:ascii="Arial" w:hAnsi="Arial" w:cs="Arial"/>
                <w:b/>
                <w:sz w:val="24"/>
                <w:szCs w:val="24"/>
              </w:rPr>
            </w:pPr>
          </w:p>
        </w:tc>
      </w:tr>
      <w:tr w:rsidR="00206BE5" w:rsidRPr="00072629" w:rsidTr="00281636">
        <w:trPr>
          <w:trHeight w:val="715"/>
        </w:trPr>
        <w:tc>
          <w:tcPr>
            <w:tcW w:w="10808" w:type="dxa"/>
            <w:gridSpan w:val="10"/>
            <w:shd w:val="clear" w:color="auto" w:fill="FFFFFF"/>
          </w:tcPr>
          <w:p w:rsidR="00BA4D06" w:rsidRDefault="00BA4D06" w:rsidP="00A97EC0">
            <w:pPr>
              <w:spacing w:after="0"/>
              <w:rPr>
                <w:rFonts w:ascii="Arial" w:hAnsi="Arial" w:cs="Arial"/>
                <w:sz w:val="24"/>
                <w:szCs w:val="24"/>
              </w:rPr>
            </w:pPr>
          </w:p>
          <w:p w:rsidR="00206BE5" w:rsidRDefault="00206BE5" w:rsidP="00A97EC0">
            <w:pPr>
              <w:spacing w:after="0"/>
              <w:rPr>
                <w:rFonts w:ascii="Arial" w:hAnsi="Arial" w:cs="Arial"/>
                <w:sz w:val="24"/>
                <w:szCs w:val="24"/>
              </w:rPr>
            </w:pPr>
            <w:r w:rsidRPr="00A97EC0">
              <w:rPr>
                <w:rFonts w:ascii="Arial" w:hAnsi="Arial" w:cs="Arial"/>
                <w:sz w:val="24"/>
                <w:szCs w:val="24"/>
              </w:rPr>
              <w:t>Dar</w:t>
            </w:r>
            <w:r w:rsidR="00300A9F">
              <w:rPr>
                <w:rFonts w:ascii="Arial" w:hAnsi="Arial" w:cs="Arial"/>
                <w:sz w:val="24"/>
                <w:szCs w:val="24"/>
              </w:rPr>
              <w:t>ryl Croft (DC) presented paper 3.02</w:t>
            </w:r>
            <w:r w:rsidRPr="00A97EC0">
              <w:rPr>
                <w:rFonts w:ascii="Arial" w:hAnsi="Arial" w:cs="Arial"/>
                <w:sz w:val="24"/>
                <w:szCs w:val="24"/>
              </w:rPr>
              <w:t xml:space="preserve"> on the proposed </w:t>
            </w:r>
            <w:r w:rsidR="00300A9F">
              <w:rPr>
                <w:rFonts w:ascii="Arial" w:hAnsi="Arial" w:cs="Arial"/>
                <w:sz w:val="24"/>
                <w:szCs w:val="24"/>
              </w:rPr>
              <w:t>conditions of access</w:t>
            </w:r>
            <w:r w:rsidRPr="00A97EC0">
              <w:rPr>
                <w:rFonts w:ascii="Arial" w:hAnsi="Arial" w:cs="Arial"/>
                <w:sz w:val="24"/>
                <w:szCs w:val="24"/>
              </w:rPr>
              <w:t xml:space="preserve"> f</w:t>
            </w:r>
            <w:r w:rsidR="000C70E0" w:rsidRPr="00A97EC0">
              <w:rPr>
                <w:rFonts w:ascii="Arial" w:hAnsi="Arial" w:cs="Arial"/>
                <w:sz w:val="24"/>
                <w:szCs w:val="24"/>
              </w:rPr>
              <w:t>or the off</w:t>
            </w:r>
            <w:r w:rsidR="00300A9F">
              <w:rPr>
                <w:rFonts w:ascii="Arial" w:hAnsi="Arial" w:cs="Arial"/>
                <w:sz w:val="24"/>
                <w:szCs w:val="24"/>
              </w:rPr>
              <w:t>-</w:t>
            </w:r>
            <w:r w:rsidR="000C70E0" w:rsidRPr="00A97EC0">
              <w:rPr>
                <w:rFonts w:ascii="Arial" w:hAnsi="Arial" w:cs="Arial"/>
                <w:sz w:val="24"/>
                <w:szCs w:val="24"/>
              </w:rPr>
              <w:t xml:space="preserve">taker of last resort mechanism. </w:t>
            </w:r>
          </w:p>
          <w:p w:rsidR="00300A9F" w:rsidRDefault="00300A9F" w:rsidP="00A97EC0">
            <w:pPr>
              <w:spacing w:after="0"/>
              <w:rPr>
                <w:rFonts w:ascii="Arial" w:hAnsi="Arial" w:cs="Arial"/>
                <w:sz w:val="24"/>
                <w:szCs w:val="24"/>
              </w:rPr>
            </w:pPr>
          </w:p>
          <w:p w:rsidR="00300A9F" w:rsidRPr="00A97EC0" w:rsidRDefault="00300A9F" w:rsidP="00A97EC0">
            <w:pPr>
              <w:spacing w:after="0"/>
              <w:rPr>
                <w:rFonts w:ascii="Arial" w:hAnsi="Arial" w:cs="Arial"/>
                <w:sz w:val="24"/>
                <w:szCs w:val="24"/>
              </w:rPr>
            </w:pPr>
            <w:r w:rsidRPr="00300A9F">
              <w:rPr>
                <w:rFonts w:ascii="Arial" w:hAnsi="Arial" w:cs="Arial"/>
                <w:sz w:val="24"/>
                <w:szCs w:val="24"/>
              </w:rPr>
              <w:t xml:space="preserve">The following points were raised in the discussion of options for </w:t>
            </w:r>
            <w:r w:rsidR="007B0558">
              <w:rPr>
                <w:rFonts w:ascii="Arial" w:hAnsi="Arial" w:cs="Arial"/>
                <w:sz w:val="24"/>
                <w:szCs w:val="24"/>
              </w:rPr>
              <w:t>conditions</w:t>
            </w:r>
            <w:r w:rsidRPr="00300A9F">
              <w:rPr>
                <w:rFonts w:ascii="Arial" w:hAnsi="Arial" w:cs="Arial"/>
                <w:sz w:val="24"/>
                <w:szCs w:val="24"/>
              </w:rPr>
              <w:t xml:space="preserve"> of access:</w:t>
            </w:r>
          </w:p>
          <w:p w:rsidR="00A97EC0" w:rsidRDefault="007A6741" w:rsidP="007A6741">
            <w:pPr>
              <w:numPr>
                <w:ilvl w:val="0"/>
                <w:numId w:val="44"/>
              </w:numPr>
              <w:spacing w:after="0"/>
              <w:rPr>
                <w:rFonts w:ascii="Arial" w:hAnsi="Arial" w:cs="Arial"/>
                <w:sz w:val="24"/>
                <w:szCs w:val="24"/>
              </w:rPr>
            </w:pPr>
            <w:r>
              <w:rPr>
                <w:rFonts w:ascii="Arial" w:hAnsi="Arial" w:cs="Arial"/>
                <w:sz w:val="24"/>
                <w:szCs w:val="24"/>
              </w:rPr>
              <w:t>A</w:t>
            </w:r>
            <w:r w:rsidR="007B0558">
              <w:rPr>
                <w:rFonts w:ascii="Arial" w:hAnsi="Arial" w:cs="Arial"/>
                <w:sz w:val="24"/>
                <w:szCs w:val="24"/>
              </w:rPr>
              <w:t xml:space="preserve">greement that the OLR should be available to generators regardless of whether they default on their open market PPA.  If the backstop PPA has normal terms and conditions attached to it then consistent bad behaviour would </w:t>
            </w:r>
            <w:r w:rsidR="00A70333">
              <w:rPr>
                <w:rFonts w:ascii="Arial" w:hAnsi="Arial" w:cs="Arial"/>
                <w:sz w:val="24"/>
                <w:szCs w:val="24"/>
              </w:rPr>
              <w:t xml:space="preserve">be likely to </w:t>
            </w:r>
            <w:r w:rsidR="007B0558">
              <w:rPr>
                <w:rFonts w:ascii="Arial" w:hAnsi="Arial" w:cs="Arial"/>
                <w:sz w:val="24"/>
                <w:szCs w:val="24"/>
              </w:rPr>
              <w:t xml:space="preserve">rule a generator out anyway.  Moreover, the significant discount offered by the backstop PPA is expected to make it unattractive even to generators defaulting on their open market PPA, and the likely introduction of a minimum contract length would prevent </w:t>
            </w:r>
            <w:r>
              <w:rPr>
                <w:rFonts w:ascii="Arial" w:hAnsi="Arial" w:cs="Arial"/>
                <w:sz w:val="24"/>
                <w:szCs w:val="24"/>
              </w:rPr>
              <w:t xml:space="preserve">the OLR being used to reduce generators’ cost of defaulting. </w:t>
            </w:r>
          </w:p>
          <w:p w:rsidR="007A6741" w:rsidRDefault="007A6741" w:rsidP="007A6741">
            <w:pPr>
              <w:numPr>
                <w:ilvl w:val="0"/>
                <w:numId w:val="44"/>
              </w:numPr>
              <w:spacing w:after="0"/>
              <w:rPr>
                <w:rFonts w:ascii="Arial" w:hAnsi="Arial" w:cs="Arial"/>
                <w:sz w:val="24"/>
                <w:szCs w:val="24"/>
              </w:rPr>
            </w:pPr>
            <w:r>
              <w:rPr>
                <w:rFonts w:ascii="Arial" w:hAnsi="Arial" w:cs="Arial"/>
                <w:sz w:val="24"/>
                <w:szCs w:val="24"/>
              </w:rPr>
              <w:t>Agreement that the off</w:t>
            </w:r>
            <w:r w:rsidR="00A70333">
              <w:rPr>
                <w:rFonts w:ascii="Arial" w:hAnsi="Arial" w:cs="Arial"/>
                <w:sz w:val="24"/>
                <w:szCs w:val="24"/>
              </w:rPr>
              <w:t>-</w:t>
            </w:r>
            <w:r>
              <w:rPr>
                <w:rFonts w:ascii="Arial" w:hAnsi="Arial" w:cs="Arial"/>
                <w:sz w:val="24"/>
                <w:szCs w:val="24"/>
              </w:rPr>
              <w:t>taker should have the right to terminate the backstop PPA</w:t>
            </w:r>
            <w:r w:rsidR="00586832">
              <w:rPr>
                <w:rFonts w:ascii="Arial" w:hAnsi="Arial" w:cs="Arial"/>
                <w:sz w:val="24"/>
                <w:szCs w:val="24"/>
              </w:rPr>
              <w:t xml:space="preserve"> if the generator breaches its obligations,</w:t>
            </w:r>
            <w:r>
              <w:rPr>
                <w:rFonts w:ascii="Arial" w:hAnsi="Arial" w:cs="Arial"/>
                <w:sz w:val="24"/>
                <w:szCs w:val="24"/>
              </w:rPr>
              <w:t xml:space="preserve"> and that generators would lose their entitlement to future backstop PPAs</w:t>
            </w:r>
            <w:r w:rsidR="00586832">
              <w:rPr>
                <w:rFonts w:ascii="Arial" w:hAnsi="Arial" w:cs="Arial"/>
                <w:sz w:val="24"/>
                <w:szCs w:val="24"/>
              </w:rPr>
              <w:t xml:space="preserve"> in such circumstances</w:t>
            </w:r>
            <w:r>
              <w:rPr>
                <w:rFonts w:ascii="Arial" w:hAnsi="Arial" w:cs="Arial"/>
                <w:sz w:val="24"/>
                <w:szCs w:val="24"/>
              </w:rPr>
              <w:t xml:space="preserve">.  </w:t>
            </w:r>
            <w:r w:rsidR="00613B8A">
              <w:rPr>
                <w:rFonts w:ascii="Arial" w:hAnsi="Arial" w:cs="Arial"/>
                <w:sz w:val="24"/>
                <w:szCs w:val="24"/>
              </w:rPr>
              <w:t xml:space="preserve">This was on the condition that the contract includes all the standard terms relating to cure periods etc, and that protection was built in for lenders.  </w:t>
            </w:r>
          </w:p>
          <w:p w:rsidR="0089779C" w:rsidRDefault="002A6936" w:rsidP="007A6741">
            <w:pPr>
              <w:numPr>
                <w:ilvl w:val="0"/>
                <w:numId w:val="44"/>
              </w:numPr>
              <w:spacing w:after="0"/>
              <w:rPr>
                <w:rFonts w:ascii="Arial" w:hAnsi="Arial" w:cs="Arial"/>
                <w:sz w:val="24"/>
                <w:szCs w:val="24"/>
              </w:rPr>
            </w:pPr>
            <w:r w:rsidRPr="0089779C">
              <w:rPr>
                <w:rFonts w:ascii="Arial" w:hAnsi="Arial" w:cs="Arial"/>
                <w:sz w:val="24"/>
                <w:szCs w:val="24"/>
              </w:rPr>
              <w:t xml:space="preserve">The possibility that off-takers could ‘frustrate’ backstop PPAs and find an excuse for terminating them, but that this becomes less of an issue under competitive allocation and where the length of a contract is between six and twelve months. </w:t>
            </w:r>
            <w:r w:rsidR="00200771">
              <w:t xml:space="preserve"> </w:t>
            </w:r>
            <w:r w:rsidR="00200771" w:rsidRPr="0089779C">
              <w:rPr>
                <w:rFonts w:ascii="Arial" w:hAnsi="Arial" w:cs="Arial"/>
                <w:sz w:val="24"/>
                <w:szCs w:val="24"/>
              </w:rPr>
              <w:t xml:space="preserve">It was argued that the potential liabilities for an offtaker found to have deliberately frustrated a backstop PPA (i.e. the lost revenue for the generator for the remainder of their CfD) should be sufficient to </w:t>
            </w:r>
            <w:r w:rsidR="00200771" w:rsidRPr="0089779C">
              <w:rPr>
                <w:rFonts w:ascii="Arial" w:hAnsi="Arial" w:cs="Arial"/>
                <w:sz w:val="24"/>
                <w:szCs w:val="24"/>
              </w:rPr>
              <w:lastRenderedPageBreak/>
              <w:t xml:space="preserve">remove any incentive to do so. </w:t>
            </w:r>
          </w:p>
          <w:p w:rsidR="006C36E3" w:rsidRDefault="0069276F" w:rsidP="007A6741">
            <w:pPr>
              <w:numPr>
                <w:ilvl w:val="0"/>
                <w:numId w:val="44"/>
              </w:numPr>
              <w:spacing w:after="0"/>
              <w:rPr>
                <w:rFonts w:ascii="Arial" w:hAnsi="Arial" w:cs="Arial"/>
                <w:sz w:val="24"/>
                <w:szCs w:val="24"/>
              </w:rPr>
            </w:pPr>
            <w:r>
              <w:rPr>
                <w:rFonts w:ascii="Arial" w:hAnsi="Arial" w:cs="Arial"/>
                <w:sz w:val="24"/>
                <w:szCs w:val="24"/>
              </w:rPr>
              <w:t>Agreement that we should not look to restrict the ability of off-takers to ‘buy out’ generators from long-term PPAs</w:t>
            </w:r>
            <w:r w:rsidR="003F19F1">
              <w:rPr>
                <w:rFonts w:ascii="Arial" w:hAnsi="Arial" w:cs="Arial"/>
                <w:sz w:val="24"/>
                <w:szCs w:val="24"/>
              </w:rPr>
              <w:t xml:space="preserve"> as this is not</w:t>
            </w:r>
            <w:r w:rsidR="00347AD3">
              <w:rPr>
                <w:rFonts w:ascii="Arial" w:hAnsi="Arial" w:cs="Arial"/>
                <w:sz w:val="24"/>
                <w:szCs w:val="24"/>
              </w:rPr>
              <w:t xml:space="preserve"> </w:t>
            </w:r>
            <w:r w:rsidR="003F19F1">
              <w:rPr>
                <w:rFonts w:ascii="Arial" w:hAnsi="Arial" w:cs="Arial"/>
                <w:sz w:val="24"/>
                <w:szCs w:val="24"/>
              </w:rPr>
              <w:t>a material risk</w:t>
            </w:r>
            <w:r w:rsidR="006C36E3">
              <w:rPr>
                <w:rFonts w:ascii="Arial" w:hAnsi="Arial" w:cs="Arial"/>
                <w:sz w:val="24"/>
                <w:szCs w:val="24"/>
              </w:rPr>
              <w:t xml:space="preserve"> for consumers</w:t>
            </w:r>
            <w:r w:rsidR="003F19F1">
              <w:rPr>
                <w:rFonts w:ascii="Arial" w:hAnsi="Arial" w:cs="Arial"/>
                <w:sz w:val="24"/>
                <w:szCs w:val="24"/>
              </w:rPr>
              <w:t>.</w:t>
            </w:r>
          </w:p>
          <w:p w:rsidR="0069276F" w:rsidRDefault="006C36E3" w:rsidP="007A6741">
            <w:pPr>
              <w:numPr>
                <w:ilvl w:val="0"/>
                <w:numId w:val="44"/>
              </w:numPr>
              <w:spacing w:after="0"/>
              <w:rPr>
                <w:rFonts w:ascii="Arial" w:hAnsi="Arial" w:cs="Arial"/>
                <w:sz w:val="24"/>
                <w:szCs w:val="24"/>
              </w:rPr>
            </w:pPr>
            <w:r>
              <w:rPr>
                <w:rFonts w:ascii="Arial" w:hAnsi="Arial" w:cs="Arial"/>
                <w:sz w:val="24"/>
                <w:szCs w:val="24"/>
              </w:rPr>
              <w:t xml:space="preserve">Agreement that we should require generators to commit to a minimum period of time, in order to prevent the OLR being used as a stop-gap, with 6 months considered a reasonable minimum length of time. </w:t>
            </w:r>
            <w:r w:rsidR="003F19F1">
              <w:rPr>
                <w:rFonts w:ascii="Arial" w:hAnsi="Arial" w:cs="Arial"/>
                <w:sz w:val="24"/>
                <w:szCs w:val="24"/>
              </w:rPr>
              <w:t xml:space="preserve">  </w:t>
            </w:r>
            <w:r w:rsidR="00586832">
              <w:rPr>
                <w:rFonts w:ascii="Arial" w:hAnsi="Arial" w:cs="Arial"/>
                <w:sz w:val="24"/>
                <w:szCs w:val="24"/>
              </w:rPr>
              <w:t xml:space="preserve">Some concern was expressed that a requirement for generators to give 2 months’ notice if they wish to exit a backstop PPA after the break clause is too long, as this will make it harder for them to find PPAs in the open market. </w:t>
            </w:r>
          </w:p>
          <w:p w:rsidR="00E43D7F" w:rsidRDefault="00347AD3" w:rsidP="00E15633">
            <w:pPr>
              <w:numPr>
                <w:ilvl w:val="0"/>
                <w:numId w:val="44"/>
              </w:numPr>
              <w:spacing w:after="0"/>
              <w:rPr>
                <w:rFonts w:ascii="Arial" w:hAnsi="Arial" w:cs="Arial"/>
                <w:sz w:val="24"/>
                <w:szCs w:val="24"/>
              </w:rPr>
            </w:pPr>
            <w:r>
              <w:rPr>
                <w:rFonts w:ascii="Arial" w:hAnsi="Arial" w:cs="Arial"/>
                <w:sz w:val="24"/>
                <w:szCs w:val="24"/>
              </w:rPr>
              <w:t xml:space="preserve">The option for the supplier to sue a generator that leaves a backstop PPA early (as done through private contractual means) was considered a sufficient penalty.  The group did not think this would require generators to post collateral as they would not be required to do </w:t>
            </w:r>
            <w:r w:rsidR="00E04C63">
              <w:rPr>
                <w:rFonts w:ascii="Arial" w:hAnsi="Arial" w:cs="Arial"/>
                <w:sz w:val="24"/>
                <w:szCs w:val="24"/>
              </w:rPr>
              <w:t>so</w:t>
            </w:r>
            <w:r>
              <w:rPr>
                <w:rFonts w:ascii="Arial" w:hAnsi="Arial" w:cs="Arial"/>
                <w:sz w:val="24"/>
                <w:szCs w:val="24"/>
              </w:rPr>
              <w:t xml:space="preserve"> under </w:t>
            </w:r>
            <w:r w:rsidR="00E04C63">
              <w:rPr>
                <w:rFonts w:ascii="Arial" w:hAnsi="Arial" w:cs="Arial"/>
                <w:sz w:val="24"/>
                <w:szCs w:val="24"/>
              </w:rPr>
              <w:t>normal</w:t>
            </w:r>
            <w:r>
              <w:rPr>
                <w:rFonts w:ascii="Arial" w:hAnsi="Arial" w:cs="Arial"/>
                <w:sz w:val="24"/>
                <w:szCs w:val="24"/>
              </w:rPr>
              <w:t xml:space="preserve"> commercial contracts.  The threat of generators losing their eligibility for future backstop PPAs if they default early was not considered to be </w:t>
            </w:r>
            <w:r w:rsidR="00E04C63">
              <w:rPr>
                <w:rFonts w:ascii="Arial" w:hAnsi="Arial" w:cs="Arial"/>
                <w:sz w:val="24"/>
                <w:szCs w:val="24"/>
              </w:rPr>
              <w:t>a sufficient enough penalty in itself, particularly if their lenders have already have become comfortable without a backstop PPA and/or the generators are coming to the end of their CfD.</w:t>
            </w:r>
          </w:p>
          <w:p w:rsidR="006C36E3" w:rsidRPr="00E15633" w:rsidRDefault="00E43D7F" w:rsidP="00E43D7F">
            <w:pPr>
              <w:numPr>
                <w:ilvl w:val="0"/>
                <w:numId w:val="44"/>
              </w:numPr>
              <w:spacing w:after="0"/>
              <w:rPr>
                <w:rFonts w:ascii="Arial" w:hAnsi="Arial" w:cs="Arial"/>
                <w:sz w:val="24"/>
                <w:szCs w:val="24"/>
              </w:rPr>
            </w:pPr>
            <w:r>
              <w:rPr>
                <w:rFonts w:ascii="Arial" w:hAnsi="Arial" w:cs="Arial"/>
                <w:sz w:val="24"/>
                <w:szCs w:val="24"/>
              </w:rPr>
              <w:t>The process of accessing backstop PPAs needs to consider how suppliers would hedge the reference price for baseload generators. This may require more notice for suppliers before being required to enter into a backstop PPA, and / or the levelisation process may need to assume the supplier trades in the day-ahead rather than season-ahead market for at least part of the term of the backstop PPA.</w:t>
            </w:r>
            <w:r w:rsidR="00E04C63">
              <w:rPr>
                <w:rFonts w:ascii="Arial" w:hAnsi="Arial" w:cs="Arial"/>
                <w:sz w:val="24"/>
                <w:szCs w:val="24"/>
              </w:rPr>
              <w:t xml:space="preserve">   </w:t>
            </w:r>
            <w:r w:rsidR="00347AD3" w:rsidRPr="00E15633">
              <w:rPr>
                <w:rFonts w:ascii="Arial" w:hAnsi="Arial" w:cs="Arial"/>
                <w:sz w:val="24"/>
                <w:szCs w:val="24"/>
              </w:rPr>
              <w:t xml:space="preserve">   </w:t>
            </w:r>
          </w:p>
        </w:tc>
      </w:tr>
      <w:tr w:rsidR="00EA1938" w:rsidRPr="00072629" w:rsidTr="00281636">
        <w:trPr>
          <w:trHeight w:val="385"/>
        </w:trPr>
        <w:tc>
          <w:tcPr>
            <w:tcW w:w="817" w:type="dxa"/>
            <w:gridSpan w:val="2"/>
            <w:shd w:val="clear" w:color="auto" w:fill="FFFFFF"/>
          </w:tcPr>
          <w:p w:rsidR="00D159B8" w:rsidRPr="00D159B8" w:rsidRDefault="002924BB" w:rsidP="00EA1938">
            <w:pPr>
              <w:pStyle w:val="ListParagraph"/>
              <w:spacing w:after="0" w:line="240" w:lineRule="auto"/>
              <w:ind w:left="0"/>
              <w:rPr>
                <w:rFonts w:ascii="Arial" w:hAnsi="Arial" w:cs="Arial"/>
                <w:b/>
                <w:sz w:val="24"/>
                <w:szCs w:val="24"/>
              </w:rPr>
            </w:pPr>
            <w:r>
              <w:rPr>
                <w:rFonts w:ascii="Arial" w:hAnsi="Arial" w:cs="Arial"/>
                <w:b/>
                <w:sz w:val="24"/>
                <w:szCs w:val="24"/>
              </w:rPr>
              <w:lastRenderedPageBreak/>
              <w:t>3</w:t>
            </w:r>
            <w:r w:rsidR="00D159B8" w:rsidRPr="00D159B8">
              <w:rPr>
                <w:rFonts w:ascii="Arial" w:hAnsi="Arial" w:cs="Arial"/>
                <w:b/>
                <w:sz w:val="24"/>
                <w:szCs w:val="24"/>
              </w:rPr>
              <w:t xml:space="preserve">. </w:t>
            </w:r>
          </w:p>
        </w:tc>
        <w:tc>
          <w:tcPr>
            <w:tcW w:w="2835" w:type="dxa"/>
            <w:gridSpan w:val="2"/>
            <w:shd w:val="clear" w:color="auto" w:fill="FFFFFF"/>
          </w:tcPr>
          <w:p w:rsidR="00D159B8" w:rsidRPr="00E6341C" w:rsidRDefault="00300A9F" w:rsidP="00300A9F">
            <w:pPr>
              <w:rPr>
                <w:rFonts w:ascii="Arial" w:hAnsi="Arial" w:cs="Arial"/>
                <w:b/>
                <w:sz w:val="24"/>
                <w:szCs w:val="24"/>
              </w:rPr>
            </w:pPr>
            <w:r>
              <w:rPr>
                <w:rFonts w:ascii="Arial" w:hAnsi="Arial" w:cs="Arial"/>
                <w:b/>
                <w:sz w:val="24"/>
                <w:szCs w:val="24"/>
              </w:rPr>
              <w:t xml:space="preserve">Contract Terms </w:t>
            </w:r>
          </w:p>
        </w:tc>
        <w:tc>
          <w:tcPr>
            <w:tcW w:w="4394" w:type="dxa"/>
            <w:gridSpan w:val="2"/>
            <w:shd w:val="clear" w:color="auto" w:fill="FFFFFF"/>
          </w:tcPr>
          <w:p w:rsidR="00D159B8" w:rsidRDefault="00300A9F" w:rsidP="00EA1938">
            <w:pPr>
              <w:pStyle w:val="ListParagraph"/>
              <w:spacing w:line="240" w:lineRule="auto"/>
              <w:ind w:left="0"/>
              <w:rPr>
                <w:rFonts w:ascii="Arial" w:hAnsi="Arial" w:cs="Arial"/>
                <w:b/>
                <w:sz w:val="24"/>
                <w:szCs w:val="24"/>
              </w:rPr>
            </w:pPr>
            <w:r>
              <w:rPr>
                <w:rFonts w:ascii="Arial" w:hAnsi="Arial" w:cs="Arial"/>
                <w:b/>
                <w:sz w:val="24"/>
                <w:szCs w:val="24"/>
              </w:rPr>
              <w:t>Paper 3.03 Contract Terms</w:t>
            </w:r>
          </w:p>
        </w:tc>
        <w:tc>
          <w:tcPr>
            <w:tcW w:w="2127" w:type="dxa"/>
            <w:gridSpan w:val="3"/>
            <w:shd w:val="clear" w:color="auto" w:fill="FFFFFF"/>
          </w:tcPr>
          <w:p w:rsidR="00D159B8" w:rsidRPr="00E6341C" w:rsidRDefault="00300A9F" w:rsidP="00EA1938">
            <w:pPr>
              <w:spacing w:after="0" w:line="240" w:lineRule="auto"/>
              <w:rPr>
                <w:rFonts w:ascii="Arial" w:hAnsi="Arial" w:cs="Arial"/>
                <w:b/>
                <w:sz w:val="24"/>
                <w:szCs w:val="24"/>
              </w:rPr>
            </w:pPr>
            <w:r>
              <w:rPr>
                <w:rFonts w:ascii="Arial" w:hAnsi="Arial" w:cs="Arial"/>
                <w:b/>
                <w:sz w:val="24"/>
                <w:szCs w:val="24"/>
              </w:rPr>
              <w:t>Matthew Coyne</w:t>
            </w:r>
          </w:p>
        </w:tc>
        <w:tc>
          <w:tcPr>
            <w:tcW w:w="635" w:type="dxa"/>
            <w:shd w:val="clear" w:color="auto" w:fill="FFFFFF"/>
          </w:tcPr>
          <w:p w:rsidR="00D159B8" w:rsidRDefault="00D159B8" w:rsidP="00EA1938">
            <w:pPr>
              <w:spacing w:after="0" w:line="240" w:lineRule="auto"/>
              <w:rPr>
                <w:rFonts w:ascii="Arial" w:hAnsi="Arial" w:cs="Arial"/>
                <w:b/>
                <w:sz w:val="24"/>
                <w:szCs w:val="24"/>
              </w:rPr>
            </w:pPr>
          </w:p>
        </w:tc>
      </w:tr>
      <w:tr w:rsidR="00EA1938" w:rsidRPr="00072629" w:rsidTr="00281636">
        <w:trPr>
          <w:trHeight w:val="841"/>
        </w:trPr>
        <w:tc>
          <w:tcPr>
            <w:tcW w:w="10808" w:type="dxa"/>
            <w:gridSpan w:val="10"/>
            <w:shd w:val="clear" w:color="auto" w:fill="FFFFFF"/>
          </w:tcPr>
          <w:p w:rsidR="003053C3" w:rsidRDefault="003053C3" w:rsidP="00EA1938">
            <w:pPr>
              <w:spacing w:after="0"/>
              <w:rPr>
                <w:rFonts w:ascii="Arial" w:hAnsi="Arial" w:cs="Arial"/>
                <w:sz w:val="24"/>
                <w:szCs w:val="24"/>
              </w:rPr>
            </w:pPr>
          </w:p>
          <w:p w:rsidR="00994B61" w:rsidRDefault="00E15633" w:rsidP="002924BB">
            <w:pPr>
              <w:spacing w:after="0"/>
              <w:rPr>
                <w:rFonts w:ascii="Arial" w:hAnsi="Arial" w:cs="Arial"/>
                <w:sz w:val="24"/>
                <w:szCs w:val="24"/>
              </w:rPr>
            </w:pPr>
            <w:r>
              <w:rPr>
                <w:rFonts w:ascii="Arial" w:hAnsi="Arial" w:cs="Arial"/>
                <w:sz w:val="24"/>
                <w:szCs w:val="24"/>
              </w:rPr>
              <w:t xml:space="preserve">Matthew Coyne presented paper 3.03 on </w:t>
            </w:r>
            <w:r w:rsidR="00B7341E">
              <w:rPr>
                <w:rFonts w:ascii="Arial" w:hAnsi="Arial" w:cs="Arial"/>
                <w:sz w:val="24"/>
                <w:szCs w:val="24"/>
              </w:rPr>
              <w:t>the proposed contract terms for the off-taker of last resort mechanism.</w:t>
            </w:r>
          </w:p>
          <w:p w:rsidR="00B7341E" w:rsidRDefault="00B7341E" w:rsidP="002924BB">
            <w:pPr>
              <w:spacing w:after="0"/>
              <w:rPr>
                <w:rFonts w:ascii="Arial" w:hAnsi="Arial" w:cs="Arial"/>
                <w:sz w:val="24"/>
                <w:szCs w:val="24"/>
              </w:rPr>
            </w:pPr>
          </w:p>
          <w:p w:rsidR="0007074E" w:rsidRPr="0007074E" w:rsidRDefault="0007074E" w:rsidP="0007074E">
            <w:pPr>
              <w:spacing w:after="0"/>
              <w:rPr>
                <w:rFonts w:ascii="Arial" w:hAnsi="Arial" w:cs="Arial"/>
                <w:sz w:val="24"/>
                <w:szCs w:val="24"/>
              </w:rPr>
            </w:pPr>
            <w:r w:rsidRPr="0007074E">
              <w:rPr>
                <w:rFonts w:ascii="Arial" w:hAnsi="Arial" w:cs="Arial"/>
                <w:sz w:val="24"/>
                <w:szCs w:val="24"/>
              </w:rPr>
              <w:t>The following points were raised in the discussion of options for contract terms:</w:t>
            </w:r>
          </w:p>
          <w:p w:rsidR="0007074E" w:rsidRDefault="0007074E" w:rsidP="0007074E">
            <w:pPr>
              <w:numPr>
                <w:ilvl w:val="0"/>
                <w:numId w:val="49"/>
              </w:numPr>
              <w:spacing w:after="0"/>
              <w:rPr>
                <w:rFonts w:ascii="Arial" w:hAnsi="Arial" w:cs="Arial"/>
                <w:sz w:val="24"/>
                <w:szCs w:val="24"/>
              </w:rPr>
            </w:pPr>
            <w:r w:rsidRPr="0007074E">
              <w:rPr>
                <w:rFonts w:ascii="Arial" w:hAnsi="Arial" w:cs="Arial"/>
                <w:sz w:val="24"/>
                <w:szCs w:val="24"/>
              </w:rPr>
              <w:t xml:space="preserve">Agreement that the index price for the backstop PPA should </w:t>
            </w:r>
            <w:r w:rsidR="005F6411">
              <w:rPr>
                <w:rFonts w:ascii="Arial" w:hAnsi="Arial" w:cs="Arial"/>
                <w:sz w:val="24"/>
                <w:szCs w:val="24"/>
              </w:rPr>
              <w:t>normally</w:t>
            </w:r>
            <w:r w:rsidR="005F6411" w:rsidRPr="0007074E">
              <w:rPr>
                <w:rFonts w:ascii="Arial" w:hAnsi="Arial" w:cs="Arial"/>
                <w:sz w:val="24"/>
                <w:szCs w:val="24"/>
              </w:rPr>
              <w:t xml:space="preserve"> </w:t>
            </w:r>
            <w:r w:rsidRPr="0007074E">
              <w:rPr>
                <w:rFonts w:ascii="Arial" w:hAnsi="Arial" w:cs="Arial"/>
                <w:sz w:val="24"/>
                <w:szCs w:val="24"/>
              </w:rPr>
              <w:t xml:space="preserve">be the CfD Market Reference Price and should track it in the event that it changes.  However, there may be a need to change the levelisation process or consider reallocation of the PPA.  </w:t>
            </w:r>
          </w:p>
          <w:p w:rsidR="00FF6F8F" w:rsidRDefault="0007074E" w:rsidP="0007074E">
            <w:pPr>
              <w:numPr>
                <w:ilvl w:val="0"/>
                <w:numId w:val="49"/>
              </w:numPr>
              <w:spacing w:after="0"/>
              <w:rPr>
                <w:rFonts w:ascii="Arial" w:hAnsi="Arial" w:cs="Arial"/>
                <w:sz w:val="24"/>
                <w:szCs w:val="24"/>
              </w:rPr>
            </w:pPr>
            <w:r w:rsidRPr="0007074E">
              <w:rPr>
                <w:rFonts w:ascii="Arial" w:hAnsi="Arial" w:cs="Arial"/>
                <w:sz w:val="24"/>
                <w:szCs w:val="24"/>
              </w:rPr>
              <w:t xml:space="preserve">Mixed views on the curtailment provisions.  The Group agreed with the principle of trying to maintain incentives for efficient curtailment, but questioned whether the mechanics are workable considering the normal operational control systems.  The group agreed that this was also an issue for standard PPAs under CfDs but that industry has yet to consider this fully.  More thinking is required on whose responsibility the curtailment should be. </w:t>
            </w:r>
          </w:p>
          <w:p w:rsidR="0007074E" w:rsidRDefault="0007074E" w:rsidP="0007074E">
            <w:pPr>
              <w:numPr>
                <w:ilvl w:val="0"/>
                <w:numId w:val="49"/>
              </w:numPr>
              <w:spacing w:after="0"/>
              <w:rPr>
                <w:rFonts w:ascii="Arial" w:hAnsi="Arial" w:cs="Arial"/>
                <w:sz w:val="24"/>
                <w:szCs w:val="24"/>
              </w:rPr>
            </w:pPr>
            <w:r w:rsidRPr="0007074E">
              <w:rPr>
                <w:rFonts w:ascii="Arial" w:hAnsi="Arial" w:cs="Arial"/>
                <w:sz w:val="24"/>
                <w:szCs w:val="24"/>
              </w:rPr>
              <w:t>Agreement that it would be beneficial to have a minimum standard for data provision to make it quicker for generators and off</w:t>
            </w:r>
            <w:r w:rsidR="002A12C9">
              <w:rPr>
                <w:rFonts w:ascii="Arial" w:hAnsi="Arial" w:cs="Arial"/>
                <w:sz w:val="24"/>
                <w:szCs w:val="24"/>
              </w:rPr>
              <w:t>-</w:t>
            </w:r>
            <w:r w:rsidRPr="0007074E">
              <w:rPr>
                <w:rFonts w:ascii="Arial" w:hAnsi="Arial" w:cs="Arial"/>
                <w:sz w:val="24"/>
                <w:szCs w:val="24"/>
              </w:rPr>
              <w:t xml:space="preserve">takers to integrate their systems.   There was a general view that system standardisation would increase over time. However, the variety of systems in use at present would make this difficult.  At a minimum there should be more onerous standards for maintaining their technical equipment and/or standardising SCADA. More thought is needed on what can be done to speed up systems integration.        </w:t>
            </w:r>
          </w:p>
          <w:p w:rsidR="0007074E" w:rsidRDefault="0007074E" w:rsidP="0007074E">
            <w:pPr>
              <w:numPr>
                <w:ilvl w:val="0"/>
                <w:numId w:val="49"/>
              </w:numPr>
              <w:spacing w:after="0"/>
              <w:rPr>
                <w:rFonts w:ascii="Arial" w:hAnsi="Arial" w:cs="Arial"/>
                <w:sz w:val="24"/>
                <w:szCs w:val="24"/>
              </w:rPr>
            </w:pPr>
            <w:r w:rsidRPr="0007074E">
              <w:rPr>
                <w:rFonts w:ascii="Arial" w:hAnsi="Arial" w:cs="Arial"/>
                <w:sz w:val="24"/>
                <w:szCs w:val="24"/>
              </w:rPr>
              <w:t xml:space="preserve">Agreement that the generator should not be required to provide credit support.  The Group </w:t>
            </w:r>
            <w:r w:rsidRPr="0007074E">
              <w:rPr>
                <w:rFonts w:ascii="Arial" w:hAnsi="Arial" w:cs="Arial"/>
                <w:sz w:val="24"/>
                <w:szCs w:val="24"/>
              </w:rPr>
              <w:lastRenderedPageBreak/>
              <w:t>commented that any current requirement for credit support from the generator relates to ROCs, which will not be an issue under the CfD.</w:t>
            </w:r>
          </w:p>
          <w:p w:rsidR="0007074E" w:rsidRDefault="0007074E" w:rsidP="0007074E">
            <w:pPr>
              <w:numPr>
                <w:ilvl w:val="0"/>
                <w:numId w:val="49"/>
              </w:numPr>
              <w:spacing w:after="0"/>
              <w:rPr>
                <w:rFonts w:ascii="Arial" w:hAnsi="Arial" w:cs="Arial"/>
                <w:sz w:val="24"/>
                <w:szCs w:val="24"/>
              </w:rPr>
            </w:pPr>
            <w:r w:rsidRPr="0007074E">
              <w:rPr>
                <w:rFonts w:ascii="Arial" w:hAnsi="Arial" w:cs="Arial"/>
                <w:sz w:val="24"/>
                <w:szCs w:val="24"/>
              </w:rPr>
              <w:t xml:space="preserve">The Group agreed with the principle of including a penalty short of termination for generators who repeatedly fail to notify suppliers of a planned outage.  The Group did not agree on the nature of this penalty, but felt that it is an important disincentive for poor performance, considering the difficulty of monitoring persistent minor breaches across more than one contract.  </w:t>
            </w:r>
          </w:p>
          <w:p w:rsidR="0007074E" w:rsidRDefault="0007074E" w:rsidP="0007074E">
            <w:pPr>
              <w:numPr>
                <w:ilvl w:val="0"/>
                <w:numId w:val="49"/>
              </w:numPr>
              <w:spacing w:after="0"/>
              <w:rPr>
                <w:rFonts w:ascii="Arial" w:hAnsi="Arial" w:cs="Arial"/>
                <w:sz w:val="24"/>
                <w:szCs w:val="24"/>
              </w:rPr>
            </w:pPr>
            <w:r w:rsidRPr="0007074E">
              <w:rPr>
                <w:rFonts w:ascii="Arial" w:hAnsi="Arial" w:cs="Arial"/>
                <w:sz w:val="24"/>
                <w:szCs w:val="24"/>
              </w:rPr>
              <w:t>General agreement that the compensation from the off</w:t>
            </w:r>
            <w:r w:rsidR="002A12C9">
              <w:rPr>
                <w:rFonts w:ascii="Arial" w:hAnsi="Arial" w:cs="Arial"/>
                <w:sz w:val="24"/>
                <w:szCs w:val="24"/>
              </w:rPr>
              <w:t>-</w:t>
            </w:r>
            <w:r w:rsidRPr="0007074E">
              <w:rPr>
                <w:rFonts w:ascii="Arial" w:hAnsi="Arial" w:cs="Arial"/>
                <w:sz w:val="24"/>
                <w:szCs w:val="24"/>
              </w:rPr>
              <w:t>taker for contract termination is proportionate if the backstop PPA mimics the provisions in a regular PPA.  The Group felt that there should be some penalty for generators that terminate a contract early – loss of eligibility for the OLR in future may not be a sufficient disincentive.</w:t>
            </w:r>
          </w:p>
          <w:p w:rsidR="00C10AE5" w:rsidRPr="0007074E" w:rsidRDefault="0007074E" w:rsidP="0007074E">
            <w:pPr>
              <w:numPr>
                <w:ilvl w:val="0"/>
                <w:numId w:val="49"/>
              </w:numPr>
              <w:spacing w:after="0"/>
              <w:rPr>
                <w:rFonts w:ascii="Arial" w:hAnsi="Arial" w:cs="Arial"/>
                <w:sz w:val="24"/>
                <w:szCs w:val="24"/>
              </w:rPr>
            </w:pPr>
            <w:r w:rsidRPr="0007074E">
              <w:rPr>
                <w:rFonts w:ascii="Arial" w:hAnsi="Arial" w:cs="Arial"/>
                <w:sz w:val="24"/>
                <w:szCs w:val="24"/>
              </w:rPr>
              <w:t>The group agreed that due to the short term of the contract, there was no need for general Change in Law provisions within the PPA.  Any changes necessary to the bPPA could be made ex ante and apply to future bPPAs.</w:t>
            </w:r>
          </w:p>
        </w:tc>
      </w:tr>
      <w:tr w:rsidR="00994B61" w:rsidRPr="00072629" w:rsidTr="00281636">
        <w:trPr>
          <w:trHeight w:val="841"/>
        </w:trPr>
        <w:tc>
          <w:tcPr>
            <w:tcW w:w="817" w:type="dxa"/>
            <w:gridSpan w:val="2"/>
            <w:shd w:val="clear" w:color="auto" w:fill="FFFFFF"/>
          </w:tcPr>
          <w:p w:rsidR="00994B61" w:rsidRPr="00300A9F" w:rsidRDefault="00300A9F" w:rsidP="00300A9F">
            <w:pPr>
              <w:spacing w:after="0"/>
              <w:ind w:left="360"/>
              <w:rPr>
                <w:rFonts w:ascii="Arial" w:hAnsi="Arial" w:cs="Arial"/>
                <w:b/>
                <w:sz w:val="24"/>
                <w:szCs w:val="24"/>
              </w:rPr>
            </w:pPr>
            <w:r w:rsidRPr="00300A9F">
              <w:rPr>
                <w:rFonts w:ascii="Arial" w:hAnsi="Arial" w:cs="Arial"/>
                <w:b/>
                <w:sz w:val="24"/>
                <w:szCs w:val="24"/>
              </w:rPr>
              <w:lastRenderedPageBreak/>
              <w:t>4.</w:t>
            </w:r>
          </w:p>
        </w:tc>
        <w:tc>
          <w:tcPr>
            <w:tcW w:w="4587" w:type="dxa"/>
            <w:gridSpan w:val="3"/>
            <w:shd w:val="clear" w:color="auto" w:fill="FFFFFF"/>
          </w:tcPr>
          <w:p w:rsidR="00994B61" w:rsidRPr="00300A9F" w:rsidRDefault="00300A9F" w:rsidP="00EA1938">
            <w:pPr>
              <w:spacing w:after="0"/>
              <w:rPr>
                <w:rFonts w:ascii="Arial" w:hAnsi="Arial" w:cs="Arial"/>
                <w:b/>
                <w:sz w:val="24"/>
                <w:szCs w:val="24"/>
              </w:rPr>
            </w:pPr>
            <w:r w:rsidRPr="00300A9F">
              <w:rPr>
                <w:rFonts w:ascii="Arial" w:hAnsi="Arial" w:cs="Arial"/>
                <w:b/>
                <w:sz w:val="24"/>
                <w:szCs w:val="24"/>
              </w:rPr>
              <w:t>Forward Look</w:t>
            </w:r>
          </w:p>
        </w:tc>
        <w:tc>
          <w:tcPr>
            <w:tcW w:w="2702" w:type="dxa"/>
            <w:gridSpan w:val="2"/>
            <w:shd w:val="clear" w:color="auto" w:fill="FFFFFF"/>
          </w:tcPr>
          <w:p w:rsidR="00994B61" w:rsidRDefault="00994B61" w:rsidP="00EA1938">
            <w:pPr>
              <w:spacing w:after="0"/>
              <w:rPr>
                <w:rFonts w:ascii="Arial" w:hAnsi="Arial" w:cs="Arial"/>
                <w:sz w:val="24"/>
                <w:szCs w:val="24"/>
              </w:rPr>
            </w:pPr>
          </w:p>
        </w:tc>
        <w:tc>
          <w:tcPr>
            <w:tcW w:w="2702" w:type="dxa"/>
            <w:gridSpan w:val="3"/>
            <w:shd w:val="clear" w:color="auto" w:fill="FFFFFF"/>
          </w:tcPr>
          <w:p w:rsidR="00994B61" w:rsidRDefault="00994B61" w:rsidP="00EA1938">
            <w:pPr>
              <w:spacing w:after="0"/>
              <w:rPr>
                <w:rFonts w:ascii="Arial" w:hAnsi="Arial" w:cs="Arial"/>
                <w:sz w:val="24"/>
                <w:szCs w:val="24"/>
              </w:rPr>
            </w:pPr>
          </w:p>
        </w:tc>
      </w:tr>
      <w:tr w:rsidR="00300A9F" w:rsidRPr="00072629" w:rsidTr="00281636">
        <w:trPr>
          <w:trHeight w:val="841"/>
        </w:trPr>
        <w:tc>
          <w:tcPr>
            <w:tcW w:w="10808" w:type="dxa"/>
            <w:gridSpan w:val="10"/>
            <w:shd w:val="clear" w:color="auto" w:fill="FFFFFF"/>
          </w:tcPr>
          <w:p w:rsidR="00300A9F" w:rsidRDefault="00300A9F" w:rsidP="00B1026A">
            <w:pPr>
              <w:spacing w:after="0"/>
              <w:rPr>
                <w:rFonts w:ascii="Arial" w:hAnsi="Arial" w:cs="Arial"/>
                <w:sz w:val="24"/>
                <w:szCs w:val="24"/>
              </w:rPr>
            </w:pPr>
            <w:r w:rsidRPr="00300A9F">
              <w:rPr>
                <w:rFonts w:ascii="Arial" w:hAnsi="Arial" w:cs="Arial"/>
                <w:sz w:val="24"/>
                <w:szCs w:val="24"/>
              </w:rPr>
              <w:t xml:space="preserve">It was </w:t>
            </w:r>
            <w:r w:rsidR="00750215">
              <w:rPr>
                <w:rFonts w:ascii="Arial" w:hAnsi="Arial" w:cs="Arial"/>
                <w:sz w:val="24"/>
                <w:szCs w:val="24"/>
              </w:rPr>
              <w:t xml:space="preserve">highlighted that the next OLRAG meeting will be </w:t>
            </w:r>
            <w:r w:rsidR="00B1026A">
              <w:rPr>
                <w:rFonts w:ascii="Arial" w:hAnsi="Arial" w:cs="Arial"/>
                <w:sz w:val="24"/>
                <w:szCs w:val="24"/>
              </w:rPr>
              <w:t>moved back 1 week and therefore will no longer be held on 14 November</w:t>
            </w:r>
            <w:r w:rsidR="00750215">
              <w:rPr>
                <w:rFonts w:ascii="Arial" w:hAnsi="Arial" w:cs="Arial"/>
                <w:sz w:val="24"/>
                <w:szCs w:val="24"/>
              </w:rPr>
              <w:t>.</w:t>
            </w:r>
            <w:r w:rsidR="0087553A">
              <w:rPr>
                <w:rFonts w:ascii="Arial" w:hAnsi="Arial" w:cs="Arial"/>
                <w:sz w:val="24"/>
                <w:szCs w:val="24"/>
              </w:rPr>
              <w:t xml:space="preserve">  This is to provide time to finish the supporting analysis.</w:t>
            </w:r>
            <w:r w:rsidR="00B1026A">
              <w:rPr>
                <w:rFonts w:ascii="Arial" w:hAnsi="Arial" w:cs="Arial"/>
                <w:sz w:val="24"/>
                <w:szCs w:val="24"/>
              </w:rPr>
              <w:t xml:space="preserve">  A new date has now been set for this meeting, which will be held between 14:00-16:00 on Wednesday 20 November. </w:t>
            </w:r>
            <w:r w:rsidR="00750215">
              <w:rPr>
                <w:rFonts w:ascii="Arial" w:hAnsi="Arial" w:cs="Arial"/>
                <w:sz w:val="24"/>
                <w:szCs w:val="24"/>
              </w:rPr>
              <w:t xml:space="preserve"> </w:t>
            </w:r>
          </w:p>
        </w:tc>
      </w:tr>
    </w:tbl>
    <w:p w:rsidR="00E438EB" w:rsidRDefault="00E438EB" w:rsidP="00937705">
      <w:pPr>
        <w:pStyle w:val="ListParagraph"/>
        <w:spacing w:line="240" w:lineRule="auto"/>
        <w:ind w:left="0"/>
        <w:rPr>
          <w:sz w:val="24"/>
          <w:szCs w:val="24"/>
        </w:rPr>
      </w:pPr>
    </w:p>
    <w:sectPr w:rsidR="00E438EB" w:rsidSect="00EA1938">
      <w:type w:val="continuous"/>
      <w:pgSz w:w="11906" w:h="16838" w:code="9"/>
      <w:pgMar w:top="1440" w:right="1440" w:bottom="1440"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1E4C" w:rsidRDefault="00191E4C" w:rsidP="0089146C">
      <w:pPr>
        <w:spacing w:after="0" w:line="240" w:lineRule="auto"/>
      </w:pPr>
      <w:r>
        <w:separator/>
      </w:r>
    </w:p>
  </w:endnote>
  <w:endnote w:type="continuationSeparator" w:id="0">
    <w:p w:rsidR="00191E4C" w:rsidRDefault="00191E4C" w:rsidP="008914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022" w:rsidRDefault="00780022">
    <w:pPr>
      <w:pStyle w:val="Footer"/>
    </w:pPr>
    <w:r>
      <w:fldChar w:fldCharType="begin"/>
    </w:r>
    <w:r>
      <w:instrText xml:space="preserve"> PAGE   \* MERGEFORMAT </w:instrText>
    </w:r>
    <w:r>
      <w:fldChar w:fldCharType="separate"/>
    </w:r>
    <w:r w:rsidR="00E017C8">
      <w:rPr>
        <w:noProof/>
      </w:rPr>
      <w:t>4</w:t>
    </w:r>
    <w:r>
      <w:rPr>
        <w:noProof/>
      </w:rPr>
      <w:fldChar w:fldCharType="end"/>
    </w:r>
  </w:p>
  <w:p w:rsidR="00780022" w:rsidRDefault="0078002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1E4C" w:rsidRDefault="00191E4C" w:rsidP="0089146C">
      <w:pPr>
        <w:spacing w:after="0" w:line="240" w:lineRule="auto"/>
      </w:pPr>
      <w:r>
        <w:separator/>
      </w:r>
    </w:p>
  </w:footnote>
  <w:footnote w:type="continuationSeparator" w:id="0">
    <w:p w:rsidR="00191E4C" w:rsidRDefault="00191E4C" w:rsidP="008914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D91" w:rsidRPr="00DA55BD" w:rsidRDefault="00E14D91" w:rsidP="001E77F6">
    <w:pPr>
      <w:pStyle w:val="Header"/>
      <w:tabs>
        <w:tab w:val="left" w:pos="2475"/>
      </w:tabs>
      <w:rPr>
        <w:rFonts w:ascii="Arial" w:hAnsi="Arial" w:cs="Arial"/>
        <w:b/>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A4AC4"/>
    <w:multiLevelType w:val="hybridMultilevel"/>
    <w:tmpl w:val="C5F4D3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5570473"/>
    <w:multiLevelType w:val="hybridMultilevel"/>
    <w:tmpl w:val="D340CB4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
    <w:nsid w:val="06C55C35"/>
    <w:multiLevelType w:val="hybridMultilevel"/>
    <w:tmpl w:val="61E057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71317FD"/>
    <w:multiLevelType w:val="hybridMultilevel"/>
    <w:tmpl w:val="ED88348A"/>
    <w:lvl w:ilvl="0" w:tplc="08090001">
      <w:start w:val="1"/>
      <w:numFmt w:val="bullet"/>
      <w:lvlText w:val=""/>
      <w:lvlJc w:val="left"/>
      <w:pPr>
        <w:ind w:left="720" w:hanging="360"/>
      </w:pPr>
      <w:rPr>
        <w:rFonts w:ascii="Symbol" w:hAnsi="Symbol" w:hint="default"/>
      </w:rPr>
    </w:lvl>
    <w:lvl w:ilvl="1" w:tplc="08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B4D44BF"/>
    <w:multiLevelType w:val="hybridMultilevel"/>
    <w:tmpl w:val="F5F2D0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B6D10BA"/>
    <w:multiLevelType w:val="hybridMultilevel"/>
    <w:tmpl w:val="C8B668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0CB76EAA"/>
    <w:multiLevelType w:val="hybridMultilevel"/>
    <w:tmpl w:val="6DD04A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0CDC09B1"/>
    <w:multiLevelType w:val="hybridMultilevel"/>
    <w:tmpl w:val="0FE05A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0D04773B"/>
    <w:multiLevelType w:val="hybridMultilevel"/>
    <w:tmpl w:val="81BA25C0"/>
    <w:lvl w:ilvl="0" w:tplc="0809000F">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0D082C60"/>
    <w:multiLevelType w:val="hybridMultilevel"/>
    <w:tmpl w:val="3948EE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19D6CA0"/>
    <w:multiLevelType w:val="hybridMultilevel"/>
    <w:tmpl w:val="053E8D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1F937CAF"/>
    <w:multiLevelType w:val="hybridMultilevel"/>
    <w:tmpl w:val="02D400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02F7078"/>
    <w:multiLevelType w:val="hybridMultilevel"/>
    <w:tmpl w:val="0B2E22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37330BE"/>
    <w:multiLevelType w:val="hybridMultilevel"/>
    <w:tmpl w:val="4C06FC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3AA6ADF"/>
    <w:multiLevelType w:val="hybridMultilevel"/>
    <w:tmpl w:val="9AC29AD0"/>
    <w:lvl w:ilvl="0" w:tplc="0809000F">
      <w:start w:val="1"/>
      <w:numFmt w:val="decimal"/>
      <w:lvlText w:val="%1."/>
      <w:lvlJc w:val="left"/>
      <w:pPr>
        <w:ind w:left="360" w:hanging="360"/>
      </w:pPr>
    </w:lvl>
    <w:lvl w:ilvl="1" w:tplc="0809000F">
      <w:start w:val="1"/>
      <w:numFmt w:val="decimal"/>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nsid w:val="26E9778B"/>
    <w:multiLevelType w:val="hybridMultilevel"/>
    <w:tmpl w:val="B91E25B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EEF525E"/>
    <w:multiLevelType w:val="hybridMultilevel"/>
    <w:tmpl w:val="6DAE3C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2FB20E1D"/>
    <w:multiLevelType w:val="hybridMultilevel"/>
    <w:tmpl w:val="27DA64C4"/>
    <w:lvl w:ilvl="0" w:tplc="0F48A9EA">
      <w:start w:val="1"/>
      <w:numFmt w:val="decimal"/>
      <w:lvlText w:val="%1."/>
      <w:lvlJc w:val="left"/>
      <w:pPr>
        <w:ind w:left="360" w:hanging="360"/>
      </w:pPr>
      <w:rPr>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1303667"/>
    <w:multiLevelType w:val="hybridMultilevel"/>
    <w:tmpl w:val="9D7C13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20D6A28"/>
    <w:multiLevelType w:val="hybridMultilevel"/>
    <w:tmpl w:val="AADC6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5692A7E"/>
    <w:multiLevelType w:val="hybridMultilevel"/>
    <w:tmpl w:val="99749A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37711EF6"/>
    <w:multiLevelType w:val="hybridMultilevel"/>
    <w:tmpl w:val="107E06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383D3A85"/>
    <w:multiLevelType w:val="hybridMultilevel"/>
    <w:tmpl w:val="6400EF9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3A093974"/>
    <w:multiLevelType w:val="hybridMultilevel"/>
    <w:tmpl w:val="AF68AD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3BCF3058"/>
    <w:multiLevelType w:val="hybridMultilevel"/>
    <w:tmpl w:val="A06CB7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3C18226E"/>
    <w:multiLevelType w:val="multilevel"/>
    <w:tmpl w:val="FC143F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3E729C2"/>
    <w:multiLevelType w:val="hybridMultilevel"/>
    <w:tmpl w:val="67C09DC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7">
    <w:nsid w:val="46AC0333"/>
    <w:multiLevelType w:val="hybridMultilevel"/>
    <w:tmpl w:val="DF5EC4F8"/>
    <w:lvl w:ilvl="0" w:tplc="0809000B">
      <w:start w:val="1"/>
      <w:numFmt w:val="bullet"/>
      <w:lvlText w:val=""/>
      <w:lvlJc w:val="left"/>
      <w:pPr>
        <w:ind w:left="360" w:hanging="360"/>
      </w:pPr>
      <w:rPr>
        <w:rFonts w:ascii="Wingdings" w:hAnsi="Wingdings" w:hint="default"/>
      </w:rPr>
    </w:lvl>
    <w:lvl w:ilvl="1" w:tplc="0809000B">
      <w:start w:val="1"/>
      <w:numFmt w:val="bullet"/>
      <w:lvlText w:val=""/>
      <w:lvlJc w:val="left"/>
      <w:pPr>
        <w:ind w:left="1080" w:hanging="360"/>
      </w:pPr>
      <w:rPr>
        <w:rFonts w:ascii="Wingdings" w:hAnsi="Wingdings"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nsid w:val="4DDC2E2F"/>
    <w:multiLevelType w:val="hybridMultilevel"/>
    <w:tmpl w:val="1958B7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4F0D73C0"/>
    <w:multiLevelType w:val="hybridMultilevel"/>
    <w:tmpl w:val="986629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51847031"/>
    <w:multiLevelType w:val="hybridMultilevel"/>
    <w:tmpl w:val="A00ED8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524448CA"/>
    <w:multiLevelType w:val="hybridMultilevel"/>
    <w:tmpl w:val="4176BCB8"/>
    <w:lvl w:ilvl="0" w:tplc="0809000F">
      <w:start w:val="1"/>
      <w:numFmt w:val="decimal"/>
      <w:lvlText w:val="%1."/>
      <w:lvlJc w:val="left"/>
      <w:pPr>
        <w:ind w:left="717" w:hanging="360"/>
      </w:p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32">
    <w:nsid w:val="52664F68"/>
    <w:multiLevelType w:val="hybridMultilevel"/>
    <w:tmpl w:val="1C009A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542A0952"/>
    <w:multiLevelType w:val="hybridMultilevel"/>
    <w:tmpl w:val="13AAE8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nsid w:val="556255D4"/>
    <w:multiLevelType w:val="hybridMultilevel"/>
    <w:tmpl w:val="C2A84D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56AD687C"/>
    <w:multiLevelType w:val="hybridMultilevel"/>
    <w:tmpl w:val="45AA02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nsid w:val="5BFF0623"/>
    <w:multiLevelType w:val="hybridMultilevel"/>
    <w:tmpl w:val="1A26A7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5C2C3FD0"/>
    <w:multiLevelType w:val="hybridMultilevel"/>
    <w:tmpl w:val="91CA62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5C72477B"/>
    <w:multiLevelType w:val="hybridMultilevel"/>
    <w:tmpl w:val="EE141776"/>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9">
    <w:nsid w:val="5FA93271"/>
    <w:multiLevelType w:val="hybridMultilevel"/>
    <w:tmpl w:val="3B4079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62D721EC"/>
    <w:multiLevelType w:val="hybridMultilevel"/>
    <w:tmpl w:val="091A83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68C75BF0"/>
    <w:multiLevelType w:val="hybridMultilevel"/>
    <w:tmpl w:val="8272CF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6FE154A0"/>
    <w:multiLevelType w:val="hybridMultilevel"/>
    <w:tmpl w:val="F74CD3A2"/>
    <w:lvl w:ilvl="0" w:tplc="690EC3DE">
      <w:start w:val="1"/>
      <w:numFmt w:val="decimal"/>
      <w:pStyle w:val="Numberedparas"/>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3">
    <w:nsid w:val="72C71D81"/>
    <w:multiLevelType w:val="hybridMultilevel"/>
    <w:tmpl w:val="0B32E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752319BD"/>
    <w:multiLevelType w:val="hybridMultilevel"/>
    <w:tmpl w:val="174886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nsid w:val="7BED14A8"/>
    <w:multiLevelType w:val="hybridMultilevel"/>
    <w:tmpl w:val="57CA43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7C03547F"/>
    <w:multiLevelType w:val="hybridMultilevel"/>
    <w:tmpl w:val="9E5006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nsid w:val="7E246F6A"/>
    <w:multiLevelType w:val="hybridMultilevel"/>
    <w:tmpl w:val="55AE63B8"/>
    <w:lvl w:ilvl="0" w:tplc="77AEE9AE">
      <w:start w:val="1"/>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8">
    <w:nsid w:val="7E500E6B"/>
    <w:multiLevelType w:val="hybridMultilevel"/>
    <w:tmpl w:val="B5144AD6"/>
    <w:lvl w:ilvl="0" w:tplc="F460B62E">
      <w:numFmt w:val="bullet"/>
      <w:lvlText w:val="-"/>
      <w:lvlJc w:val="left"/>
      <w:pPr>
        <w:ind w:left="360" w:hanging="360"/>
      </w:pPr>
      <w:rPr>
        <w:rFonts w:ascii="Arial" w:eastAsia="Calibri"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7"/>
  </w:num>
  <w:num w:numId="2">
    <w:abstractNumId w:val="42"/>
  </w:num>
  <w:num w:numId="3">
    <w:abstractNumId w:val="3"/>
  </w:num>
  <w:num w:numId="4">
    <w:abstractNumId w:val="27"/>
  </w:num>
  <w:num w:numId="5">
    <w:abstractNumId w:val="0"/>
  </w:num>
  <w:num w:numId="6">
    <w:abstractNumId w:val="19"/>
  </w:num>
  <w:num w:numId="7">
    <w:abstractNumId w:val="38"/>
  </w:num>
  <w:num w:numId="8">
    <w:abstractNumId w:val="11"/>
  </w:num>
  <w:num w:numId="9">
    <w:abstractNumId w:val="33"/>
  </w:num>
  <w:num w:numId="10">
    <w:abstractNumId w:val="1"/>
  </w:num>
  <w:num w:numId="11">
    <w:abstractNumId w:val="31"/>
  </w:num>
  <w:num w:numId="12">
    <w:abstractNumId w:val="35"/>
  </w:num>
  <w:num w:numId="13">
    <w:abstractNumId w:val="48"/>
  </w:num>
  <w:num w:numId="14">
    <w:abstractNumId w:val="21"/>
  </w:num>
  <w:num w:numId="15">
    <w:abstractNumId w:val="47"/>
  </w:num>
  <w:num w:numId="16">
    <w:abstractNumId w:val="30"/>
  </w:num>
  <w:num w:numId="17">
    <w:abstractNumId w:val="28"/>
  </w:num>
  <w:num w:numId="18">
    <w:abstractNumId w:val="22"/>
  </w:num>
  <w:num w:numId="19">
    <w:abstractNumId w:val="14"/>
  </w:num>
  <w:num w:numId="20">
    <w:abstractNumId w:val="39"/>
  </w:num>
  <w:num w:numId="21">
    <w:abstractNumId w:val="44"/>
  </w:num>
  <w:num w:numId="22">
    <w:abstractNumId w:val="10"/>
  </w:num>
  <w:num w:numId="23">
    <w:abstractNumId w:val="37"/>
  </w:num>
  <w:num w:numId="24">
    <w:abstractNumId w:val="23"/>
  </w:num>
  <w:num w:numId="25">
    <w:abstractNumId w:val="5"/>
  </w:num>
  <w:num w:numId="26">
    <w:abstractNumId w:val="40"/>
  </w:num>
  <w:num w:numId="27">
    <w:abstractNumId w:val="6"/>
  </w:num>
  <w:num w:numId="28">
    <w:abstractNumId w:val="12"/>
  </w:num>
  <w:num w:numId="29">
    <w:abstractNumId w:val="7"/>
  </w:num>
  <w:num w:numId="30">
    <w:abstractNumId w:val="45"/>
  </w:num>
  <w:num w:numId="31">
    <w:abstractNumId w:val="15"/>
  </w:num>
  <w:num w:numId="32">
    <w:abstractNumId w:val="9"/>
  </w:num>
  <w:num w:numId="33">
    <w:abstractNumId w:val="24"/>
  </w:num>
  <w:num w:numId="34">
    <w:abstractNumId w:val="16"/>
  </w:num>
  <w:num w:numId="35">
    <w:abstractNumId w:val="13"/>
  </w:num>
  <w:num w:numId="36">
    <w:abstractNumId w:val="43"/>
  </w:num>
  <w:num w:numId="37">
    <w:abstractNumId w:val="32"/>
  </w:num>
  <w:num w:numId="38">
    <w:abstractNumId w:val="20"/>
  </w:num>
  <w:num w:numId="39">
    <w:abstractNumId w:val="41"/>
  </w:num>
  <w:num w:numId="40">
    <w:abstractNumId w:val="25"/>
  </w:num>
  <w:num w:numId="41">
    <w:abstractNumId w:val="36"/>
  </w:num>
  <w:num w:numId="42">
    <w:abstractNumId w:val="18"/>
  </w:num>
  <w:num w:numId="43">
    <w:abstractNumId w:val="2"/>
  </w:num>
  <w:num w:numId="44">
    <w:abstractNumId w:val="4"/>
  </w:num>
  <w:num w:numId="45">
    <w:abstractNumId w:val="26"/>
  </w:num>
  <w:num w:numId="46">
    <w:abstractNumId w:val="29"/>
  </w:num>
  <w:num w:numId="47">
    <w:abstractNumId w:val="8"/>
  </w:num>
  <w:num w:numId="48">
    <w:abstractNumId w:val="46"/>
  </w:num>
  <w:num w:numId="49">
    <w:abstractNumId w:val="3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9"/>
  <w:trackRevisions/>
  <w:doNotTrackMoves/>
  <w:defaultTabStop w:val="720"/>
  <w:characterSpacingControl w:val="doNotCompress"/>
  <w:hdrShapeDefaults>
    <o:shapedefaults v:ext="edit" spidmax="1024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4438"/>
    <w:rsid w:val="000024EE"/>
    <w:rsid w:val="000026FB"/>
    <w:rsid w:val="000047D4"/>
    <w:rsid w:val="000062F8"/>
    <w:rsid w:val="000078C7"/>
    <w:rsid w:val="00014717"/>
    <w:rsid w:val="00017838"/>
    <w:rsid w:val="00021825"/>
    <w:rsid w:val="000222BB"/>
    <w:rsid w:val="00025060"/>
    <w:rsid w:val="00025642"/>
    <w:rsid w:val="0003021A"/>
    <w:rsid w:val="00033EC0"/>
    <w:rsid w:val="00035B2F"/>
    <w:rsid w:val="00035F50"/>
    <w:rsid w:val="000368FD"/>
    <w:rsid w:val="000416D6"/>
    <w:rsid w:val="00042096"/>
    <w:rsid w:val="000422D9"/>
    <w:rsid w:val="00045944"/>
    <w:rsid w:val="00045A92"/>
    <w:rsid w:val="00046081"/>
    <w:rsid w:val="00050E85"/>
    <w:rsid w:val="000516F8"/>
    <w:rsid w:val="00053A5E"/>
    <w:rsid w:val="000550B9"/>
    <w:rsid w:val="00055CC1"/>
    <w:rsid w:val="00055E31"/>
    <w:rsid w:val="00060E39"/>
    <w:rsid w:val="000650C8"/>
    <w:rsid w:val="000651A6"/>
    <w:rsid w:val="000674AA"/>
    <w:rsid w:val="00067A89"/>
    <w:rsid w:val="00067EC5"/>
    <w:rsid w:val="0007074E"/>
    <w:rsid w:val="00072629"/>
    <w:rsid w:val="00076140"/>
    <w:rsid w:val="000774AD"/>
    <w:rsid w:val="00077943"/>
    <w:rsid w:val="00080906"/>
    <w:rsid w:val="000815B3"/>
    <w:rsid w:val="0008256A"/>
    <w:rsid w:val="000878EC"/>
    <w:rsid w:val="00090D83"/>
    <w:rsid w:val="00093EAC"/>
    <w:rsid w:val="0009761D"/>
    <w:rsid w:val="000A15DB"/>
    <w:rsid w:val="000A5712"/>
    <w:rsid w:val="000A6F69"/>
    <w:rsid w:val="000A72D6"/>
    <w:rsid w:val="000A758E"/>
    <w:rsid w:val="000B0B85"/>
    <w:rsid w:val="000B387D"/>
    <w:rsid w:val="000B41B7"/>
    <w:rsid w:val="000B5E66"/>
    <w:rsid w:val="000B5ED0"/>
    <w:rsid w:val="000B6A3B"/>
    <w:rsid w:val="000B7D53"/>
    <w:rsid w:val="000C098F"/>
    <w:rsid w:val="000C13A5"/>
    <w:rsid w:val="000C2F03"/>
    <w:rsid w:val="000C5351"/>
    <w:rsid w:val="000C6CB1"/>
    <w:rsid w:val="000C70E0"/>
    <w:rsid w:val="000D4955"/>
    <w:rsid w:val="000D529C"/>
    <w:rsid w:val="000E27D3"/>
    <w:rsid w:val="000E2A25"/>
    <w:rsid w:val="000E39B3"/>
    <w:rsid w:val="000E597D"/>
    <w:rsid w:val="000E6157"/>
    <w:rsid w:val="000E75EE"/>
    <w:rsid w:val="000F01D5"/>
    <w:rsid w:val="000F14A7"/>
    <w:rsid w:val="000F3024"/>
    <w:rsid w:val="000F4791"/>
    <w:rsid w:val="000F5812"/>
    <w:rsid w:val="000F67E0"/>
    <w:rsid w:val="00100029"/>
    <w:rsid w:val="00100B45"/>
    <w:rsid w:val="001019D9"/>
    <w:rsid w:val="00103405"/>
    <w:rsid w:val="00103D43"/>
    <w:rsid w:val="001057BC"/>
    <w:rsid w:val="001076FF"/>
    <w:rsid w:val="00122805"/>
    <w:rsid w:val="00127098"/>
    <w:rsid w:val="001274C8"/>
    <w:rsid w:val="00130E14"/>
    <w:rsid w:val="00131ACA"/>
    <w:rsid w:val="001365C0"/>
    <w:rsid w:val="00136BC2"/>
    <w:rsid w:val="00136CE7"/>
    <w:rsid w:val="001405E0"/>
    <w:rsid w:val="00141876"/>
    <w:rsid w:val="001418CA"/>
    <w:rsid w:val="001426F9"/>
    <w:rsid w:val="0014459B"/>
    <w:rsid w:val="001451A4"/>
    <w:rsid w:val="00146015"/>
    <w:rsid w:val="00146542"/>
    <w:rsid w:val="00152B75"/>
    <w:rsid w:val="00156981"/>
    <w:rsid w:val="00156FCA"/>
    <w:rsid w:val="00157032"/>
    <w:rsid w:val="00160404"/>
    <w:rsid w:val="00161379"/>
    <w:rsid w:val="00161A6C"/>
    <w:rsid w:val="00162590"/>
    <w:rsid w:val="00162983"/>
    <w:rsid w:val="00162F3A"/>
    <w:rsid w:val="001633C2"/>
    <w:rsid w:val="001670DB"/>
    <w:rsid w:val="0017010A"/>
    <w:rsid w:val="00170A16"/>
    <w:rsid w:val="00171092"/>
    <w:rsid w:val="001735F2"/>
    <w:rsid w:val="0017401D"/>
    <w:rsid w:val="00176306"/>
    <w:rsid w:val="00181007"/>
    <w:rsid w:val="00183BF3"/>
    <w:rsid w:val="00185A9D"/>
    <w:rsid w:val="00185E3C"/>
    <w:rsid w:val="00191E4C"/>
    <w:rsid w:val="001925EF"/>
    <w:rsid w:val="00195A83"/>
    <w:rsid w:val="00195DFE"/>
    <w:rsid w:val="0019678A"/>
    <w:rsid w:val="001A4E19"/>
    <w:rsid w:val="001B1DD4"/>
    <w:rsid w:val="001B26B2"/>
    <w:rsid w:val="001B5567"/>
    <w:rsid w:val="001B5579"/>
    <w:rsid w:val="001B6866"/>
    <w:rsid w:val="001B6C59"/>
    <w:rsid w:val="001C1AF5"/>
    <w:rsid w:val="001C27B2"/>
    <w:rsid w:val="001C7A41"/>
    <w:rsid w:val="001C7F0E"/>
    <w:rsid w:val="001E01DE"/>
    <w:rsid w:val="001E14C1"/>
    <w:rsid w:val="001E1813"/>
    <w:rsid w:val="001E3E9C"/>
    <w:rsid w:val="001E5465"/>
    <w:rsid w:val="001E77F6"/>
    <w:rsid w:val="001E7B3E"/>
    <w:rsid w:val="001F2806"/>
    <w:rsid w:val="00200771"/>
    <w:rsid w:val="00201071"/>
    <w:rsid w:val="00205ED6"/>
    <w:rsid w:val="00206BE5"/>
    <w:rsid w:val="002071A4"/>
    <w:rsid w:val="0020781B"/>
    <w:rsid w:val="00212B90"/>
    <w:rsid w:val="00213CF4"/>
    <w:rsid w:val="002141B0"/>
    <w:rsid w:val="00216A7E"/>
    <w:rsid w:val="0022078A"/>
    <w:rsid w:val="002213DE"/>
    <w:rsid w:val="0022140E"/>
    <w:rsid w:val="00221495"/>
    <w:rsid w:val="002215D6"/>
    <w:rsid w:val="0022564C"/>
    <w:rsid w:val="0022740D"/>
    <w:rsid w:val="00230268"/>
    <w:rsid w:val="00233C3B"/>
    <w:rsid w:val="002340B7"/>
    <w:rsid w:val="00235148"/>
    <w:rsid w:val="00240BEB"/>
    <w:rsid w:val="00240C7D"/>
    <w:rsid w:val="00241758"/>
    <w:rsid w:val="00241DBE"/>
    <w:rsid w:val="002425BB"/>
    <w:rsid w:val="002435EB"/>
    <w:rsid w:val="00245908"/>
    <w:rsid w:val="002560D5"/>
    <w:rsid w:val="00256F6F"/>
    <w:rsid w:val="00260C7C"/>
    <w:rsid w:val="0026264F"/>
    <w:rsid w:val="002633C0"/>
    <w:rsid w:val="00265C72"/>
    <w:rsid w:val="0026681C"/>
    <w:rsid w:val="00272A9A"/>
    <w:rsid w:val="00272BCA"/>
    <w:rsid w:val="002757B5"/>
    <w:rsid w:val="00277C93"/>
    <w:rsid w:val="00281636"/>
    <w:rsid w:val="00283B76"/>
    <w:rsid w:val="00286A5B"/>
    <w:rsid w:val="00286BFD"/>
    <w:rsid w:val="002924BB"/>
    <w:rsid w:val="00292684"/>
    <w:rsid w:val="00292E94"/>
    <w:rsid w:val="0029348A"/>
    <w:rsid w:val="00293D86"/>
    <w:rsid w:val="00294407"/>
    <w:rsid w:val="00295572"/>
    <w:rsid w:val="002956A3"/>
    <w:rsid w:val="002A12C9"/>
    <w:rsid w:val="002A53B1"/>
    <w:rsid w:val="002A6273"/>
    <w:rsid w:val="002A6936"/>
    <w:rsid w:val="002A7BCC"/>
    <w:rsid w:val="002B55FA"/>
    <w:rsid w:val="002B64E8"/>
    <w:rsid w:val="002B6D5C"/>
    <w:rsid w:val="002B6FE9"/>
    <w:rsid w:val="002C003D"/>
    <w:rsid w:val="002C069E"/>
    <w:rsid w:val="002C3136"/>
    <w:rsid w:val="002C3156"/>
    <w:rsid w:val="002C6955"/>
    <w:rsid w:val="002D12B4"/>
    <w:rsid w:val="002D481C"/>
    <w:rsid w:val="002D655D"/>
    <w:rsid w:val="002E3060"/>
    <w:rsid w:val="002E3ABF"/>
    <w:rsid w:val="002E3EEF"/>
    <w:rsid w:val="002F02D4"/>
    <w:rsid w:val="002F05FB"/>
    <w:rsid w:val="002F0ABD"/>
    <w:rsid w:val="002F10B1"/>
    <w:rsid w:val="002F138C"/>
    <w:rsid w:val="002F186D"/>
    <w:rsid w:val="002F3617"/>
    <w:rsid w:val="002F3ABA"/>
    <w:rsid w:val="002F4A00"/>
    <w:rsid w:val="002F4EDB"/>
    <w:rsid w:val="002F5CE6"/>
    <w:rsid w:val="002F6D9F"/>
    <w:rsid w:val="00300A9F"/>
    <w:rsid w:val="00303A29"/>
    <w:rsid w:val="003053C3"/>
    <w:rsid w:val="00305571"/>
    <w:rsid w:val="00306985"/>
    <w:rsid w:val="00306A14"/>
    <w:rsid w:val="0031128E"/>
    <w:rsid w:val="00312AD9"/>
    <w:rsid w:val="003150D0"/>
    <w:rsid w:val="00315387"/>
    <w:rsid w:val="00317CB7"/>
    <w:rsid w:val="00320F4F"/>
    <w:rsid w:val="00321AED"/>
    <w:rsid w:val="0032673E"/>
    <w:rsid w:val="00330BCF"/>
    <w:rsid w:val="003314FA"/>
    <w:rsid w:val="00332279"/>
    <w:rsid w:val="00332B02"/>
    <w:rsid w:val="0033391E"/>
    <w:rsid w:val="00334C07"/>
    <w:rsid w:val="00341A4A"/>
    <w:rsid w:val="003447BE"/>
    <w:rsid w:val="003475A6"/>
    <w:rsid w:val="00347AD3"/>
    <w:rsid w:val="00351649"/>
    <w:rsid w:val="00354DFC"/>
    <w:rsid w:val="00356A0D"/>
    <w:rsid w:val="00357DE9"/>
    <w:rsid w:val="00360739"/>
    <w:rsid w:val="00364090"/>
    <w:rsid w:val="00364790"/>
    <w:rsid w:val="00364BC0"/>
    <w:rsid w:val="00372309"/>
    <w:rsid w:val="00373FC6"/>
    <w:rsid w:val="003755FA"/>
    <w:rsid w:val="00375BBD"/>
    <w:rsid w:val="00376197"/>
    <w:rsid w:val="00385193"/>
    <w:rsid w:val="003865BA"/>
    <w:rsid w:val="00387043"/>
    <w:rsid w:val="003875F4"/>
    <w:rsid w:val="003929B4"/>
    <w:rsid w:val="00392A6D"/>
    <w:rsid w:val="00392BAE"/>
    <w:rsid w:val="00393CC0"/>
    <w:rsid w:val="003A1830"/>
    <w:rsid w:val="003A436F"/>
    <w:rsid w:val="003B0F6F"/>
    <w:rsid w:val="003B14A3"/>
    <w:rsid w:val="003B31FF"/>
    <w:rsid w:val="003B5F8E"/>
    <w:rsid w:val="003B6CA1"/>
    <w:rsid w:val="003C0795"/>
    <w:rsid w:val="003C0FF8"/>
    <w:rsid w:val="003C5C88"/>
    <w:rsid w:val="003C7089"/>
    <w:rsid w:val="003C733A"/>
    <w:rsid w:val="003D04CE"/>
    <w:rsid w:val="003D16FD"/>
    <w:rsid w:val="003D60FC"/>
    <w:rsid w:val="003E02E6"/>
    <w:rsid w:val="003E2144"/>
    <w:rsid w:val="003E3481"/>
    <w:rsid w:val="003E4A65"/>
    <w:rsid w:val="003E4B57"/>
    <w:rsid w:val="003F10E4"/>
    <w:rsid w:val="003F19F1"/>
    <w:rsid w:val="003F2D16"/>
    <w:rsid w:val="003F49E0"/>
    <w:rsid w:val="003F5187"/>
    <w:rsid w:val="003F5F68"/>
    <w:rsid w:val="003F6EA7"/>
    <w:rsid w:val="00401743"/>
    <w:rsid w:val="00402A27"/>
    <w:rsid w:val="00407509"/>
    <w:rsid w:val="00407CBB"/>
    <w:rsid w:val="0041318E"/>
    <w:rsid w:val="00413D3E"/>
    <w:rsid w:val="00414374"/>
    <w:rsid w:val="00414770"/>
    <w:rsid w:val="0041586E"/>
    <w:rsid w:val="00415939"/>
    <w:rsid w:val="004314E1"/>
    <w:rsid w:val="00435B0B"/>
    <w:rsid w:val="004366E6"/>
    <w:rsid w:val="004370E8"/>
    <w:rsid w:val="00437144"/>
    <w:rsid w:val="00440010"/>
    <w:rsid w:val="00441C4A"/>
    <w:rsid w:val="00444899"/>
    <w:rsid w:val="00444C31"/>
    <w:rsid w:val="00445FA5"/>
    <w:rsid w:val="00446464"/>
    <w:rsid w:val="0045032D"/>
    <w:rsid w:val="00450440"/>
    <w:rsid w:val="0045161A"/>
    <w:rsid w:val="00454A16"/>
    <w:rsid w:val="004554D0"/>
    <w:rsid w:val="00457256"/>
    <w:rsid w:val="00457785"/>
    <w:rsid w:val="004610A3"/>
    <w:rsid w:val="004638F5"/>
    <w:rsid w:val="004639C8"/>
    <w:rsid w:val="00464B83"/>
    <w:rsid w:val="00464D8D"/>
    <w:rsid w:val="00465303"/>
    <w:rsid w:val="00471DAC"/>
    <w:rsid w:val="004722D0"/>
    <w:rsid w:val="00472ACD"/>
    <w:rsid w:val="00473478"/>
    <w:rsid w:val="0047479A"/>
    <w:rsid w:val="00474A81"/>
    <w:rsid w:val="00474CB3"/>
    <w:rsid w:val="00475345"/>
    <w:rsid w:val="00476445"/>
    <w:rsid w:val="0047645F"/>
    <w:rsid w:val="0047672C"/>
    <w:rsid w:val="00477DA7"/>
    <w:rsid w:val="00480F72"/>
    <w:rsid w:val="00481231"/>
    <w:rsid w:val="004817FA"/>
    <w:rsid w:val="004828A9"/>
    <w:rsid w:val="00483CFC"/>
    <w:rsid w:val="00485E30"/>
    <w:rsid w:val="00485F0E"/>
    <w:rsid w:val="0049176C"/>
    <w:rsid w:val="00492141"/>
    <w:rsid w:val="00494212"/>
    <w:rsid w:val="004945E0"/>
    <w:rsid w:val="00494E61"/>
    <w:rsid w:val="004A0E8A"/>
    <w:rsid w:val="004A6AB9"/>
    <w:rsid w:val="004A73DF"/>
    <w:rsid w:val="004A78D6"/>
    <w:rsid w:val="004A7EED"/>
    <w:rsid w:val="004B10D3"/>
    <w:rsid w:val="004B2DA9"/>
    <w:rsid w:val="004B2FDB"/>
    <w:rsid w:val="004B3EBA"/>
    <w:rsid w:val="004B4300"/>
    <w:rsid w:val="004B5463"/>
    <w:rsid w:val="004B78EF"/>
    <w:rsid w:val="004C0EDD"/>
    <w:rsid w:val="004C360D"/>
    <w:rsid w:val="004C3A82"/>
    <w:rsid w:val="004C52C2"/>
    <w:rsid w:val="004C6DBD"/>
    <w:rsid w:val="004C7800"/>
    <w:rsid w:val="004D0F25"/>
    <w:rsid w:val="004D1E80"/>
    <w:rsid w:val="004D4CF4"/>
    <w:rsid w:val="004E1151"/>
    <w:rsid w:val="004E1187"/>
    <w:rsid w:val="004E1DB5"/>
    <w:rsid w:val="004E22DF"/>
    <w:rsid w:val="004E3861"/>
    <w:rsid w:val="004E5832"/>
    <w:rsid w:val="004F029C"/>
    <w:rsid w:val="004F31D1"/>
    <w:rsid w:val="004F3600"/>
    <w:rsid w:val="004F5179"/>
    <w:rsid w:val="004F6617"/>
    <w:rsid w:val="00500BE0"/>
    <w:rsid w:val="005017DC"/>
    <w:rsid w:val="00501961"/>
    <w:rsid w:val="00502C8F"/>
    <w:rsid w:val="00502E31"/>
    <w:rsid w:val="00503D96"/>
    <w:rsid w:val="0050444B"/>
    <w:rsid w:val="00507054"/>
    <w:rsid w:val="00511048"/>
    <w:rsid w:val="005118FF"/>
    <w:rsid w:val="0052700C"/>
    <w:rsid w:val="00530FF3"/>
    <w:rsid w:val="00531649"/>
    <w:rsid w:val="00532223"/>
    <w:rsid w:val="0053311C"/>
    <w:rsid w:val="00533527"/>
    <w:rsid w:val="00533940"/>
    <w:rsid w:val="005351A7"/>
    <w:rsid w:val="00540F66"/>
    <w:rsid w:val="005422DA"/>
    <w:rsid w:val="00546167"/>
    <w:rsid w:val="00546216"/>
    <w:rsid w:val="0055310B"/>
    <w:rsid w:val="005617A0"/>
    <w:rsid w:val="005635B2"/>
    <w:rsid w:val="00565CFD"/>
    <w:rsid w:val="00571572"/>
    <w:rsid w:val="00571720"/>
    <w:rsid w:val="0058183B"/>
    <w:rsid w:val="00583D64"/>
    <w:rsid w:val="00584733"/>
    <w:rsid w:val="00585FCD"/>
    <w:rsid w:val="00586832"/>
    <w:rsid w:val="005869B5"/>
    <w:rsid w:val="0059155B"/>
    <w:rsid w:val="00592862"/>
    <w:rsid w:val="005936E9"/>
    <w:rsid w:val="005942AA"/>
    <w:rsid w:val="00597A94"/>
    <w:rsid w:val="005A28CB"/>
    <w:rsid w:val="005B2BA7"/>
    <w:rsid w:val="005B5822"/>
    <w:rsid w:val="005B6483"/>
    <w:rsid w:val="005B6C88"/>
    <w:rsid w:val="005B6EEB"/>
    <w:rsid w:val="005C4B9A"/>
    <w:rsid w:val="005C6161"/>
    <w:rsid w:val="005C621D"/>
    <w:rsid w:val="005D12B5"/>
    <w:rsid w:val="005D1307"/>
    <w:rsid w:val="005D6D89"/>
    <w:rsid w:val="005E0251"/>
    <w:rsid w:val="005E05E1"/>
    <w:rsid w:val="005E078B"/>
    <w:rsid w:val="005E208B"/>
    <w:rsid w:val="005E2AE5"/>
    <w:rsid w:val="005E3E2B"/>
    <w:rsid w:val="005E571D"/>
    <w:rsid w:val="005E6FBB"/>
    <w:rsid w:val="005F0BAF"/>
    <w:rsid w:val="005F0E50"/>
    <w:rsid w:val="005F1FA2"/>
    <w:rsid w:val="005F56B8"/>
    <w:rsid w:val="005F6411"/>
    <w:rsid w:val="005F6630"/>
    <w:rsid w:val="0060035A"/>
    <w:rsid w:val="00600B05"/>
    <w:rsid w:val="00600D94"/>
    <w:rsid w:val="00604041"/>
    <w:rsid w:val="00604F0C"/>
    <w:rsid w:val="006050ED"/>
    <w:rsid w:val="0060524A"/>
    <w:rsid w:val="00613B8A"/>
    <w:rsid w:val="00614737"/>
    <w:rsid w:val="0061664A"/>
    <w:rsid w:val="00616920"/>
    <w:rsid w:val="00620359"/>
    <w:rsid w:val="00621965"/>
    <w:rsid w:val="006244F9"/>
    <w:rsid w:val="0062612B"/>
    <w:rsid w:val="00627A2E"/>
    <w:rsid w:val="00630EBB"/>
    <w:rsid w:val="00631FCE"/>
    <w:rsid w:val="00632E18"/>
    <w:rsid w:val="0063519F"/>
    <w:rsid w:val="00635296"/>
    <w:rsid w:val="00636A78"/>
    <w:rsid w:val="0064078B"/>
    <w:rsid w:val="00640BA9"/>
    <w:rsid w:val="006420CF"/>
    <w:rsid w:val="00643AF0"/>
    <w:rsid w:val="0064497F"/>
    <w:rsid w:val="00645D22"/>
    <w:rsid w:val="006470BF"/>
    <w:rsid w:val="006471F9"/>
    <w:rsid w:val="006475FE"/>
    <w:rsid w:val="00650230"/>
    <w:rsid w:val="00651FF8"/>
    <w:rsid w:val="0065295D"/>
    <w:rsid w:val="00653879"/>
    <w:rsid w:val="00655099"/>
    <w:rsid w:val="00655B5E"/>
    <w:rsid w:val="00657DA3"/>
    <w:rsid w:val="00657E8D"/>
    <w:rsid w:val="006604C2"/>
    <w:rsid w:val="00660824"/>
    <w:rsid w:val="00663563"/>
    <w:rsid w:val="006644E2"/>
    <w:rsid w:val="00665158"/>
    <w:rsid w:val="00665F31"/>
    <w:rsid w:val="0066644C"/>
    <w:rsid w:val="00667FE8"/>
    <w:rsid w:val="00671719"/>
    <w:rsid w:val="006725E9"/>
    <w:rsid w:val="00675032"/>
    <w:rsid w:val="00682BA5"/>
    <w:rsid w:val="00684D97"/>
    <w:rsid w:val="00686BC1"/>
    <w:rsid w:val="00691A81"/>
    <w:rsid w:val="0069276F"/>
    <w:rsid w:val="0069303B"/>
    <w:rsid w:val="0069333F"/>
    <w:rsid w:val="0069477D"/>
    <w:rsid w:val="00695264"/>
    <w:rsid w:val="006963C8"/>
    <w:rsid w:val="006966D8"/>
    <w:rsid w:val="006A5889"/>
    <w:rsid w:val="006B21F9"/>
    <w:rsid w:val="006B330B"/>
    <w:rsid w:val="006B5823"/>
    <w:rsid w:val="006B5F2F"/>
    <w:rsid w:val="006C1D4C"/>
    <w:rsid w:val="006C3642"/>
    <w:rsid w:val="006C36E3"/>
    <w:rsid w:val="006C4662"/>
    <w:rsid w:val="006C471B"/>
    <w:rsid w:val="006D2901"/>
    <w:rsid w:val="006D2907"/>
    <w:rsid w:val="006D4796"/>
    <w:rsid w:val="006D6A93"/>
    <w:rsid w:val="006D7ED0"/>
    <w:rsid w:val="006E4AB2"/>
    <w:rsid w:val="006E4DDC"/>
    <w:rsid w:val="006E539E"/>
    <w:rsid w:val="006E75FF"/>
    <w:rsid w:val="006F0B9F"/>
    <w:rsid w:val="006F0D33"/>
    <w:rsid w:val="006F34B7"/>
    <w:rsid w:val="006F39FE"/>
    <w:rsid w:val="00701A33"/>
    <w:rsid w:val="00703698"/>
    <w:rsid w:val="00703DBD"/>
    <w:rsid w:val="007054C2"/>
    <w:rsid w:val="00712909"/>
    <w:rsid w:val="007134B5"/>
    <w:rsid w:val="0071369E"/>
    <w:rsid w:val="0071384E"/>
    <w:rsid w:val="00715F75"/>
    <w:rsid w:val="00716257"/>
    <w:rsid w:val="007263DA"/>
    <w:rsid w:val="007272C7"/>
    <w:rsid w:val="00727EF0"/>
    <w:rsid w:val="00734149"/>
    <w:rsid w:val="00736A3F"/>
    <w:rsid w:val="00736D3A"/>
    <w:rsid w:val="0074082A"/>
    <w:rsid w:val="00740A99"/>
    <w:rsid w:val="00742B23"/>
    <w:rsid w:val="00742D26"/>
    <w:rsid w:val="00743826"/>
    <w:rsid w:val="007449CA"/>
    <w:rsid w:val="00745026"/>
    <w:rsid w:val="00745761"/>
    <w:rsid w:val="00747661"/>
    <w:rsid w:val="00750215"/>
    <w:rsid w:val="00750741"/>
    <w:rsid w:val="007530BF"/>
    <w:rsid w:val="007538E3"/>
    <w:rsid w:val="00753D15"/>
    <w:rsid w:val="00762C6B"/>
    <w:rsid w:val="00765380"/>
    <w:rsid w:val="00770504"/>
    <w:rsid w:val="0077634B"/>
    <w:rsid w:val="00777B7D"/>
    <w:rsid w:val="00780022"/>
    <w:rsid w:val="00781DC6"/>
    <w:rsid w:val="007826C4"/>
    <w:rsid w:val="00782924"/>
    <w:rsid w:val="0078626A"/>
    <w:rsid w:val="007910AE"/>
    <w:rsid w:val="00791E78"/>
    <w:rsid w:val="00792DF4"/>
    <w:rsid w:val="0079405F"/>
    <w:rsid w:val="00795633"/>
    <w:rsid w:val="00796303"/>
    <w:rsid w:val="007A4538"/>
    <w:rsid w:val="007A45C8"/>
    <w:rsid w:val="007A57F4"/>
    <w:rsid w:val="007A5CB7"/>
    <w:rsid w:val="007A6741"/>
    <w:rsid w:val="007A6EFD"/>
    <w:rsid w:val="007A73D0"/>
    <w:rsid w:val="007B0558"/>
    <w:rsid w:val="007B3452"/>
    <w:rsid w:val="007B4B36"/>
    <w:rsid w:val="007B76E7"/>
    <w:rsid w:val="007B7BCD"/>
    <w:rsid w:val="007C0892"/>
    <w:rsid w:val="007C27D1"/>
    <w:rsid w:val="007C2A36"/>
    <w:rsid w:val="007C2A89"/>
    <w:rsid w:val="007C7304"/>
    <w:rsid w:val="007D093A"/>
    <w:rsid w:val="007D537E"/>
    <w:rsid w:val="007D7B50"/>
    <w:rsid w:val="007D7F2B"/>
    <w:rsid w:val="007E04C6"/>
    <w:rsid w:val="007E3764"/>
    <w:rsid w:val="007E7F8F"/>
    <w:rsid w:val="007F4B0F"/>
    <w:rsid w:val="007F4EAA"/>
    <w:rsid w:val="007F5841"/>
    <w:rsid w:val="008001AF"/>
    <w:rsid w:val="008018B4"/>
    <w:rsid w:val="00810A63"/>
    <w:rsid w:val="00810F7C"/>
    <w:rsid w:val="008116A5"/>
    <w:rsid w:val="00813A41"/>
    <w:rsid w:val="00813BFA"/>
    <w:rsid w:val="00814CA9"/>
    <w:rsid w:val="008161E4"/>
    <w:rsid w:val="00822229"/>
    <w:rsid w:val="0082375E"/>
    <w:rsid w:val="00825B24"/>
    <w:rsid w:val="00830BF1"/>
    <w:rsid w:val="008314F8"/>
    <w:rsid w:val="00834017"/>
    <w:rsid w:val="00834B7B"/>
    <w:rsid w:val="008352E4"/>
    <w:rsid w:val="0084106F"/>
    <w:rsid w:val="008419C1"/>
    <w:rsid w:val="008457DD"/>
    <w:rsid w:val="00846EE2"/>
    <w:rsid w:val="00847E58"/>
    <w:rsid w:val="00852360"/>
    <w:rsid w:val="00857407"/>
    <w:rsid w:val="00857A21"/>
    <w:rsid w:val="00860F67"/>
    <w:rsid w:val="00862CAC"/>
    <w:rsid w:val="008667A0"/>
    <w:rsid w:val="008729AE"/>
    <w:rsid w:val="00874B2C"/>
    <w:rsid w:val="0087553A"/>
    <w:rsid w:val="00875D89"/>
    <w:rsid w:val="008774F8"/>
    <w:rsid w:val="00886965"/>
    <w:rsid w:val="008870C2"/>
    <w:rsid w:val="00887239"/>
    <w:rsid w:val="0089045D"/>
    <w:rsid w:val="00890584"/>
    <w:rsid w:val="00891225"/>
    <w:rsid w:val="0089146C"/>
    <w:rsid w:val="008922FE"/>
    <w:rsid w:val="00894040"/>
    <w:rsid w:val="008957E0"/>
    <w:rsid w:val="0089779C"/>
    <w:rsid w:val="008A2FE3"/>
    <w:rsid w:val="008B0A65"/>
    <w:rsid w:val="008B1D79"/>
    <w:rsid w:val="008B5744"/>
    <w:rsid w:val="008B5BFB"/>
    <w:rsid w:val="008B6094"/>
    <w:rsid w:val="008C2BCB"/>
    <w:rsid w:val="008C4354"/>
    <w:rsid w:val="008C5D46"/>
    <w:rsid w:val="008C6AF4"/>
    <w:rsid w:val="008C6EBB"/>
    <w:rsid w:val="008D0863"/>
    <w:rsid w:val="008D1FC7"/>
    <w:rsid w:val="008D3FC6"/>
    <w:rsid w:val="008D62E7"/>
    <w:rsid w:val="008D6CEC"/>
    <w:rsid w:val="008D6DB2"/>
    <w:rsid w:val="008E26D6"/>
    <w:rsid w:val="008E37A9"/>
    <w:rsid w:val="008E7223"/>
    <w:rsid w:val="008F045E"/>
    <w:rsid w:val="008F11DF"/>
    <w:rsid w:val="008F2508"/>
    <w:rsid w:val="008F3F34"/>
    <w:rsid w:val="008F4FE1"/>
    <w:rsid w:val="008F69AB"/>
    <w:rsid w:val="008F7719"/>
    <w:rsid w:val="00900CA9"/>
    <w:rsid w:val="009078BC"/>
    <w:rsid w:val="00907A46"/>
    <w:rsid w:val="0091279F"/>
    <w:rsid w:val="00914A9E"/>
    <w:rsid w:val="009159AA"/>
    <w:rsid w:val="009163E7"/>
    <w:rsid w:val="00917933"/>
    <w:rsid w:val="0092048E"/>
    <w:rsid w:val="0092238E"/>
    <w:rsid w:val="0092239B"/>
    <w:rsid w:val="00923067"/>
    <w:rsid w:val="0092319C"/>
    <w:rsid w:val="0092429A"/>
    <w:rsid w:val="00926F4C"/>
    <w:rsid w:val="0093176E"/>
    <w:rsid w:val="00933FAF"/>
    <w:rsid w:val="0093567A"/>
    <w:rsid w:val="00936CE1"/>
    <w:rsid w:val="00937705"/>
    <w:rsid w:val="00942112"/>
    <w:rsid w:val="00943AA1"/>
    <w:rsid w:val="0094563C"/>
    <w:rsid w:val="00945DC6"/>
    <w:rsid w:val="00947C3B"/>
    <w:rsid w:val="00947D68"/>
    <w:rsid w:val="0095271C"/>
    <w:rsid w:val="00952BAF"/>
    <w:rsid w:val="009536ED"/>
    <w:rsid w:val="00953714"/>
    <w:rsid w:val="009545D4"/>
    <w:rsid w:val="00956CEF"/>
    <w:rsid w:val="009612E0"/>
    <w:rsid w:val="009614F0"/>
    <w:rsid w:val="0096284D"/>
    <w:rsid w:val="009641CA"/>
    <w:rsid w:val="009650F4"/>
    <w:rsid w:val="00965512"/>
    <w:rsid w:val="009670C5"/>
    <w:rsid w:val="00972477"/>
    <w:rsid w:val="009749D7"/>
    <w:rsid w:val="00983051"/>
    <w:rsid w:val="009845F1"/>
    <w:rsid w:val="00985017"/>
    <w:rsid w:val="0098777C"/>
    <w:rsid w:val="0099226E"/>
    <w:rsid w:val="00992DEC"/>
    <w:rsid w:val="00993009"/>
    <w:rsid w:val="00993F14"/>
    <w:rsid w:val="00994B61"/>
    <w:rsid w:val="00995E7E"/>
    <w:rsid w:val="009A3EF7"/>
    <w:rsid w:val="009A566F"/>
    <w:rsid w:val="009A581D"/>
    <w:rsid w:val="009B07B8"/>
    <w:rsid w:val="009B1A4D"/>
    <w:rsid w:val="009B365E"/>
    <w:rsid w:val="009B4692"/>
    <w:rsid w:val="009C36C8"/>
    <w:rsid w:val="009D188A"/>
    <w:rsid w:val="009D1AFE"/>
    <w:rsid w:val="009D299D"/>
    <w:rsid w:val="009D69C3"/>
    <w:rsid w:val="009D6BF2"/>
    <w:rsid w:val="009D7ABF"/>
    <w:rsid w:val="009D7AD4"/>
    <w:rsid w:val="009E10C2"/>
    <w:rsid w:val="009E2519"/>
    <w:rsid w:val="009E3F3D"/>
    <w:rsid w:val="009E4438"/>
    <w:rsid w:val="009E746D"/>
    <w:rsid w:val="009F0B60"/>
    <w:rsid w:val="009F6AB4"/>
    <w:rsid w:val="00A07401"/>
    <w:rsid w:val="00A11791"/>
    <w:rsid w:val="00A124B1"/>
    <w:rsid w:val="00A12F9B"/>
    <w:rsid w:val="00A13B25"/>
    <w:rsid w:val="00A13EB5"/>
    <w:rsid w:val="00A140C9"/>
    <w:rsid w:val="00A14EF3"/>
    <w:rsid w:val="00A15CAA"/>
    <w:rsid w:val="00A16289"/>
    <w:rsid w:val="00A22E2C"/>
    <w:rsid w:val="00A24F9C"/>
    <w:rsid w:val="00A26236"/>
    <w:rsid w:val="00A27BFE"/>
    <w:rsid w:val="00A31688"/>
    <w:rsid w:val="00A32BA4"/>
    <w:rsid w:val="00A347C4"/>
    <w:rsid w:val="00A35155"/>
    <w:rsid w:val="00A364A6"/>
    <w:rsid w:val="00A37785"/>
    <w:rsid w:val="00A4574E"/>
    <w:rsid w:val="00A45D20"/>
    <w:rsid w:val="00A462EB"/>
    <w:rsid w:val="00A51AFB"/>
    <w:rsid w:val="00A52687"/>
    <w:rsid w:val="00A66388"/>
    <w:rsid w:val="00A67A92"/>
    <w:rsid w:val="00A70333"/>
    <w:rsid w:val="00A72B8C"/>
    <w:rsid w:val="00A75641"/>
    <w:rsid w:val="00A7690A"/>
    <w:rsid w:val="00A76CB0"/>
    <w:rsid w:val="00A8227E"/>
    <w:rsid w:val="00A83365"/>
    <w:rsid w:val="00A83CC5"/>
    <w:rsid w:val="00A84ACB"/>
    <w:rsid w:val="00A85155"/>
    <w:rsid w:val="00A87429"/>
    <w:rsid w:val="00A936A2"/>
    <w:rsid w:val="00A9376F"/>
    <w:rsid w:val="00A97EC0"/>
    <w:rsid w:val="00AA5AA8"/>
    <w:rsid w:val="00AB1A4F"/>
    <w:rsid w:val="00AB245C"/>
    <w:rsid w:val="00AB3479"/>
    <w:rsid w:val="00AB6856"/>
    <w:rsid w:val="00AB7F4B"/>
    <w:rsid w:val="00AC3DC6"/>
    <w:rsid w:val="00AC4970"/>
    <w:rsid w:val="00AC5A26"/>
    <w:rsid w:val="00AC630C"/>
    <w:rsid w:val="00AD1775"/>
    <w:rsid w:val="00AD1D24"/>
    <w:rsid w:val="00AD5C72"/>
    <w:rsid w:val="00AE267C"/>
    <w:rsid w:val="00AE48B3"/>
    <w:rsid w:val="00AF0B6A"/>
    <w:rsid w:val="00AF218C"/>
    <w:rsid w:val="00AF239A"/>
    <w:rsid w:val="00AF2ABB"/>
    <w:rsid w:val="00AF2DEF"/>
    <w:rsid w:val="00AF48BE"/>
    <w:rsid w:val="00B00A41"/>
    <w:rsid w:val="00B00C29"/>
    <w:rsid w:val="00B1026A"/>
    <w:rsid w:val="00B13E31"/>
    <w:rsid w:val="00B1551A"/>
    <w:rsid w:val="00B168A8"/>
    <w:rsid w:val="00B213F4"/>
    <w:rsid w:val="00B24A23"/>
    <w:rsid w:val="00B24E66"/>
    <w:rsid w:val="00B276CF"/>
    <w:rsid w:val="00B27838"/>
    <w:rsid w:val="00B30EC1"/>
    <w:rsid w:val="00B313F0"/>
    <w:rsid w:val="00B31E30"/>
    <w:rsid w:val="00B326DF"/>
    <w:rsid w:val="00B32A1A"/>
    <w:rsid w:val="00B378E4"/>
    <w:rsid w:val="00B37A38"/>
    <w:rsid w:val="00B40A9C"/>
    <w:rsid w:val="00B45AE0"/>
    <w:rsid w:val="00B46234"/>
    <w:rsid w:val="00B46F00"/>
    <w:rsid w:val="00B53E5B"/>
    <w:rsid w:val="00B53F5D"/>
    <w:rsid w:val="00B54F59"/>
    <w:rsid w:val="00B57804"/>
    <w:rsid w:val="00B601A7"/>
    <w:rsid w:val="00B63D8A"/>
    <w:rsid w:val="00B658A5"/>
    <w:rsid w:val="00B66FF2"/>
    <w:rsid w:val="00B7341E"/>
    <w:rsid w:val="00B74966"/>
    <w:rsid w:val="00B81C05"/>
    <w:rsid w:val="00B82612"/>
    <w:rsid w:val="00B85439"/>
    <w:rsid w:val="00B86137"/>
    <w:rsid w:val="00B91BD4"/>
    <w:rsid w:val="00B948D5"/>
    <w:rsid w:val="00B971A7"/>
    <w:rsid w:val="00BA0EDB"/>
    <w:rsid w:val="00BA2BFF"/>
    <w:rsid w:val="00BA391E"/>
    <w:rsid w:val="00BA4D06"/>
    <w:rsid w:val="00BA4FF5"/>
    <w:rsid w:val="00BA71B6"/>
    <w:rsid w:val="00BB0014"/>
    <w:rsid w:val="00BB0643"/>
    <w:rsid w:val="00BB0B1D"/>
    <w:rsid w:val="00BB21DF"/>
    <w:rsid w:val="00BB5BA5"/>
    <w:rsid w:val="00BB693D"/>
    <w:rsid w:val="00BB6EBB"/>
    <w:rsid w:val="00BB7A1D"/>
    <w:rsid w:val="00BC17BC"/>
    <w:rsid w:val="00BC3E6D"/>
    <w:rsid w:val="00BC4700"/>
    <w:rsid w:val="00BD0CEB"/>
    <w:rsid w:val="00BD2024"/>
    <w:rsid w:val="00BD2DD7"/>
    <w:rsid w:val="00BD2F28"/>
    <w:rsid w:val="00BD698F"/>
    <w:rsid w:val="00BE1842"/>
    <w:rsid w:val="00BE27F2"/>
    <w:rsid w:val="00BE3CCD"/>
    <w:rsid w:val="00BE4CBE"/>
    <w:rsid w:val="00BE6174"/>
    <w:rsid w:val="00BF1F79"/>
    <w:rsid w:val="00BF40FB"/>
    <w:rsid w:val="00BF4C9F"/>
    <w:rsid w:val="00BF579A"/>
    <w:rsid w:val="00BF66C7"/>
    <w:rsid w:val="00BF68EB"/>
    <w:rsid w:val="00BF6D93"/>
    <w:rsid w:val="00C100A8"/>
    <w:rsid w:val="00C10AE5"/>
    <w:rsid w:val="00C10DFB"/>
    <w:rsid w:val="00C12A32"/>
    <w:rsid w:val="00C13076"/>
    <w:rsid w:val="00C149B1"/>
    <w:rsid w:val="00C14A11"/>
    <w:rsid w:val="00C163E7"/>
    <w:rsid w:val="00C179C3"/>
    <w:rsid w:val="00C20A8C"/>
    <w:rsid w:val="00C2469B"/>
    <w:rsid w:val="00C3088E"/>
    <w:rsid w:val="00C32B8D"/>
    <w:rsid w:val="00C33943"/>
    <w:rsid w:val="00C3706C"/>
    <w:rsid w:val="00C37C09"/>
    <w:rsid w:val="00C411EE"/>
    <w:rsid w:val="00C44202"/>
    <w:rsid w:val="00C4447E"/>
    <w:rsid w:val="00C538E2"/>
    <w:rsid w:val="00C54709"/>
    <w:rsid w:val="00C606B1"/>
    <w:rsid w:val="00C63DF3"/>
    <w:rsid w:val="00C66604"/>
    <w:rsid w:val="00C67B98"/>
    <w:rsid w:val="00C70F56"/>
    <w:rsid w:val="00C72A23"/>
    <w:rsid w:val="00C7343E"/>
    <w:rsid w:val="00C776AF"/>
    <w:rsid w:val="00C8182C"/>
    <w:rsid w:val="00C8301D"/>
    <w:rsid w:val="00C844C2"/>
    <w:rsid w:val="00C91B58"/>
    <w:rsid w:val="00C936B6"/>
    <w:rsid w:val="00C9385E"/>
    <w:rsid w:val="00C9494D"/>
    <w:rsid w:val="00C9586D"/>
    <w:rsid w:val="00C96913"/>
    <w:rsid w:val="00CA0B4C"/>
    <w:rsid w:val="00CA19D3"/>
    <w:rsid w:val="00CA47F7"/>
    <w:rsid w:val="00CB0BEF"/>
    <w:rsid w:val="00CB282A"/>
    <w:rsid w:val="00CB4120"/>
    <w:rsid w:val="00CB5036"/>
    <w:rsid w:val="00CB60C8"/>
    <w:rsid w:val="00CC06A2"/>
    <w:rsid w:val="00CC22D5"/>
    <w:rsid w:val="00CC29E8"/>
    <w:rsid w:val="00CC2B0F"/>
    <w:rsid w:val="00CC2F40"/>
    <w:rsid w:val="00CC3F51"/>
    <w:rsid w:val="00CC4DB5"/>
    <w:rsid w:val="00CC4FDB"/>
    <w:rsid w:val="00CD5E8F"/>
    <w:rsid w:val="00CE081A"/>
    <w:rsid w:val="00CE11CB"/>
    <w:rsid w:val="00CE79F4"/>
    <w:rsid w:val="00CF43AB"/>
    <w:rsid w:val="00CF500A"/>
    <w:rsid w:val="00CF6132"/>
    <w:rsid w:val="00CF6607"/>
    <w:rsid w:val="00D017E5"/>
    <w:rsid w:val="00D046B1"/>
    <w:rsid w:val="00D06517"/>
    <w:rsid w:val="00D06F5B"/>
    <w:rsid w:val="00D110F9"/>
    <w:rsid w:val="00D111BA"/>
    <w:rsid w:val="00D148AC"/>
    <w:rsid w:val="00D158DF"/>
    <w:rsid w:val="00D159B8"/>
    <w:rsid w:val="00D17655"/>
    <w:rsid w:val="00D20AFA"/>
    <w:rsid w:val="00D24C8D"/>
    <w:rsid w:val="00D26724"/>
    <w:rsid w:val="00D27B44"/>
    <w:rsid w:val="00D36034"/>
    <w:rsid w:val="00D439E6"/>
    <w:rsid w:val="00D44139"/>
    <w:rsid w:val="00D453ED"/>
    <w:rsid w:val="00D45561"/>
    <w:rsid w:val="00D463B1"/>
    <w:rsid w:val="00D46F91"/>
    <w:rsid w:val="00D47919"/>
    <w:rsid w:val="00D56082"/>
    <w:rsid w:val="00D5637C"/>
    <w:rsid w:val="00D60AD9"/>
    <w:rsid w:val="00D611D6"/>
    <w:rsid w:val="00D672EC"/>
    <w:rsid w:val="00D76B53"/>
    <w:rsid w:val="00D800EC"/>
    <w:rsid w:val="00D8170C"/>
    <w:rsid w:val="00D81CA9"/>
    <w:rsid w:val="00D850C3"/>
    <w:rsid w:val="00D87DE5"/>
    <w:rsid w:val="00D91ADA"/>
    <w:rsid w:val="00D9233F"/>
    <w:rsid w:val="00D9240C"/>
    <w:rsid w:val="00D93FE6"/>
    <w:rsid w:val="00D97776"/>
    <w:rsid w:val="00DA1FA2"/>
    <w:rsid w:val="00DA30BF"/>
    <w:rsid w:val="00DA55BD"/>
    <w:rsid w:val="00DA7959"/>
    <w:rsid w:val="00DB1085"/>
    <w:rsid w:val="00DB4796"/>
    <w:rsid w:val="00DB5A23"/>
    <w:rsid w:val="00DB65B1"/>
    <w:rsid w:val="00DC2C17"/>
    <w:rsid w:val="00DC6595"/>
    <w:rsid w:val="00DC6805"/>
    <w:rsid w:val="00DD1E3C"/>
    <w:rsid w:val="00DD4C1B"/>
    <w:rsid w:val="00DD4CCB"/>
    <w:rsid w:val="00DD619A"/>
    <w:rsid w:val="00DD6A47"/>
    <w:rsid w:val="00DD7F7C"/>
    <w:rsid w:val="00DE1A96"/>
    <w:rsid w:val="00DE52BC"/>
    <w:rsid w:val="00DE605A"/>
    <w:rsid w:val="00DF070F"/>
    <w:rsid w:val="00DF30D1"/>
    <w:rsid w:val="00DF3BDD"/>
    <w:rsid w:val="00DF3C90"/>
    <w:rsid w:val="00DF44B3"/>
    <w:rsid w:val="00DF4707"/>
    <w:rsid w:val="00DF56C4"/>
    <w:rsid w:val="00DF7ECF"/>
    <w:rsid w:val="00E017C8"/>
    <w:rsid w:val="00E04C63"/>
    <w:rsid w:val="00E04CAA"/>
    <w:rsid w:val="00E146BF"/>
    <w:rsid w:val="00E14D91"/>
    <w:rsid w:val="00E15633"/>
    <w:rsid w:val="00E1624E"/>
    <w:rsid w:val="00E16979"/>
    <w:rsid w:val="00E1731D"/>
    <w:rsid w:val="00E23FF1"/>
    <w:rsid w:val="00E25A56"/>
    <w:rsid w:val="00E27176"/>
    <w:rsid w:val="00E278B6"/>
    <w:rsid w:val="00E3095F"/>
    <w:rsid w:val="00E3243E"/>
    <w:rsid w:val="00E36A5A"/>
    <w:rsid w:val="00E40654"/>
    <w:rsid w:val="00E41FA1"/>
    <w:rsid w:val="00E438EB"/>
    <w:rsid w:val="00E43D7F"/>
    <w:rsid w:val="00E45A5A"/>
    <w:rsid w:val="00E4683A"/>
    <w:rsid w:val="00E515C8"/>
    <w:rsid w:val="00E52038"/>
    <w:rsid w:val="00E579AB"/>
    <w:rsid w:val="00E64496"/>
    <w:rsid w:val="00E66D4A"/>
    <w:rsid w:val="00E732FB"/>
    <w:rsid w:val="00E74BCF"/>
    <w:rsid w:val="00E74EDB"/>
    <w:rsid w:val="00E7638C"/>
    <w:rsid w:val="00E76834"/>
    <w:rsid w:val="00E76E02"/>
    <w:rsid w:val="00E776B3"/>
    <w:rsid w:val="00E81924"/>
    <w:rsid w:val="00E8327D"/>
    <w:rsid w:val="00E903D5"/>
    <w:rsid w:val="00E95355"/>
    <w:rsid w:val="00E9639F"/>
    <w:rsid w:val="00EA1938"/>
    <w:rsid w:val="00EA6386"/>
    <w:rsid w:val="00EA68C3"/>
    <w:rsid w:val="00EA79E2"/>
    <w:rsid w:val="00EB111B"/>
    <w:rsid w:val="00EB204A"/>
    <w:rsid w:val="00EB260E"/>
    <w:rsid w:val="00EB438B"/>
    <w:rsid w:val="00EB4D32"/>
    <w:rsid w:val="00EB5EF4"/>
    <w:rsid w:val="00EB726E"/>
    <w:rsid w:val="00EC02D8"/>
    <w:rsid w:val="00EC2B33"/>
    <w:rsid w:val="00EC339B"/>
    <w:rsid w:val="00EC584B"/>
    <w:rsid w:val="00EC6497"/>
    <w:rsid w:val="00EC6C00"/>
    <w:rsid w:val="00ED08C7"/>
    <w:rsid w:val="00ED1165"/>
    <w:rsid w:val="00ED2F53"/>
    <w:rsid w:val="00ED5453"/>
    <w:rsid w:val="00ED5A93"/>
    <w:rsid w:val="00EE2AA8"/>
    <w:rsid w:val="00EE420B"/>
    <w:rsid w:val="00EF08F7"/>
    <w:rsid w:val="00EF0BDF"/>
    <w:rsid w:val="00EF30B4"/>
    <w:rsid w:val="00F01A64"/>
    <w:rsid w:val="00F03861"/>
    <w:rsid w:val="00F05610"/>
    <w:rsid w:val="00F05812"/>
    <w:rsid w:val="00F14207"/>
    <w:rsid w:val="00F146C0"/>
    <w:rsid w:val="00F14F2C"/>
    <w:rsid w:val="00F204C1"/>
    <w:rsid w:val="00F22E6C"/>
    <w:rsid w:val="00F23C71"/>
    <w:rsid w:val="00F24B53"/>
    <w:rsid w:val="00F32F47"/>
    <w:rsid w:val="00F36717"/>
    <w:rsid w:val="00F373AC"/>
    <w:rsid w:val="00F37D9E"/>
    <w:rsid w:val="00F41AF1"/>
    <w:rsid w:val="00F4352E"/>
    <w:rsid w:val="00F45A9A"/>
    <w:rsid w:val="00F45F98"/>
    <w:rsid w:val="00F46459"/>
    <w:rsid w:val="00F47750"/>
    <w:rsid w:val="00F47F79"/>
    <w:rsid w:val="00F5010D"/>
    <w:rsid w:val="00F514F8"/>
    <w:rsid w:val="00F52146"/>
    <w:rsid w:val="00F56C3F"/>
    <w:rsid w:val="00F57C09"/>
    <w:rsid w:val="00F600C7"/>
    <w:rsid w:val="00F611BF"/>
    <w:rsid w:val="00F655BF"/>
    <w:rsid w:val="00F67B97"/>
    <w:rsid w:val="00F70E8E"/>
    <w:rsid w:val="00F715CC"/>
    <w:rsid w:val="00F71726"/>
    <w:rsid w:val="00F73382"/>
    <w:rsid w:val="00F73CDE"/>
    <w:rsid w:val="00F75AB6"/>
    <w:rsid w:val="00F766FC"/>
    <w:rsid w:val="00F76E43"/>
    <w:rsid w:val="00F77CCC"/>
    <w:rsid w:val="00F80C1D"/>
    <w:rsid w:val="00F840B3"/>
    <w:rsid w:val="00F85DA2"/>
    <w:rsid w:val="00F868D4"/>
    <w:rsid w:val="00F87780"/>
    <w:rsid w:val="00F9231D"/>
    <w:rsid w:val="00F92975"/>
    <w:rsid w:val="00F93BF4"/>
    <w:rsid w:val="00F969EA"/>
    <w:rsid w:val="00FA0B2F"/>
    <w:rsid w:val="00FA15DA"/>
    <w:rsid w:val="00FA492B"/>
    <w:rsid w:val="00FA5179"/>
    <w:rsid w:val="00FA73FE"/>
    <w:rsid w:val="00FB02F2"/>
    <w:rsid w:val="00FB0AFC"/>
    <w:rsid w:val="00FB1A0A"/>
    <w:rsid w:val="00FB6544"/>
    <w:rsid w:val="00FB7B49"/>
    <w:rsid w:val="00FC0174"/>
    <w:rsid w:val="00FC1326"/>
    <w:rsid w:val="00FC267A"/>
    <w:rsid w:val="00FC34A0"/>
    <w:rsid w:val="00FC3547"/>
    <w:rsid w:val="00FC6761"/>
    <w:rsid w:val="00FC68EA"/>
    <w:rsid w:val="00FD0D29"/>
    <w:rsid w:val="00FE1075"/>
    <w:rsid w:val="00FE26DD"/>
    <w:rsid w:val="00FE2DB1"/>
    <w:rsid w:val="00FE4CDC"/>
    <w:rsid w:val="00FE574B"/>
    <w:rsid w:val="00FE64E7"/>
    <w:rsid w:val="00FE6B37"/>
    <w:rsid w:val="00FF2CD5"/>
    <w:rsid w:val="00FF32CE"/>
    <w:rsid w:val="00FF4CF8"/>
    <w:rsid w:val="00FF6C1E"/>
    <w:rsid w:val="00FF6F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785"/>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Dot pt,No Spacing1,List Paragraph Char Char Char,Indicator Text,Numbered Para 1,List Paragraph1,Bullet Points,MAIN CONTENT,Bullet 1,OBC Bullet,List Paragraph11,List Paragraph12,F5 List Paragraph,Colorful List - Accent 11,Normal numbered"/>
    <w:basedOn w:val="Normal"/>
    <w:link w:val="ListParagraphChar"/>
    <w:uiPriority w:val="34"/>
    <w:qFormat/>
    <w:rsid w:val="009E4438"/>
    <w:pPr>
      <w:ind w:left="720"/>
      <w:contextualSpacing/>
    </w:pPr>
  </w:style>
  <w:style w:type="paragraph" w:styleId="Header">
    <w:name w:val="header"/>
    <w:basedOn w:val="Normal"/>
    <w:link w:val="HeaderChar"/>
    <w:uiPriority w:val="99"/>
    <w:unhideWhenUsed/>
    <w:rsid w:val="0089146C"/>
    <w:pPr>
      <w:tabs>
        <w:tab w:val="center" w:pos="4513"/>
        <w:tab w:val="right" w:pos="9026"/>
      </w:tabs>
    </w:pPr>
  </w:style>
  <w:style w:type="character" w:customStyle="1" w:styleId="HeaderChar">
    <w:name w:val="Header Char"/>
    <w:link w:val="Header"/>
    <w:uiPriority w:val="99"/>
    <w:rsid w:val="0089146C"/>
    <w:rPr>
      <w:sz w:val="22"/>
      <w:szCs w:val="22"/>
      <w:lang w:eastAsia="en-US"/>
    </w:rPr>
  </w:style>
  <w:style w:type="paragraph" w:styleId="Footer">
    <w:name w:val="footer"/>
    <w:basedOn w:val="Normal"/>
    <w:link w:val="FooterChar"/>
    <w:uiPriority w:val="99"/>
    <w:unhideWhenUsed/>
    <w:rsid w:val="0089146C"/>
    <w:pPr>
      <w:tabs>
        <w:tab w:val="center" w:pos="4513"/>
        <w:tab w:val="right" w:pos="9026"/>
      </w:tabs>
    </w:pPr>
  </w:style>
  <w:style w:type="character" w:customStyle="1" w:styleId="FooterChar">
    <w:name w:val="Footer Char"/>
    <w:link w:val="Footer"/>
    <w:uiPriority w:val="99"/>
    <w:rsid w:val="0089146C"/>
    <w:rPr>
      <w:sz w:val="22"/>
      <w:szCs w:val="22"/>
      <w:lang w:eastAsia="en-US"/>
    </w:rPr>
  </w:style>
  <w:style w:type="table" w:styleId="TableGrid">
    <w:name w:val="Table Grid"/>
    <w:basedOn w:val="TableNormal"/>
    <w:uiPriority w:val="59"/>
    <w:rsid w:val="002F05F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uiPriority w:val="99"/>
    <w:semiHidden/>
    <w:unhideWhenUsed/>
    <w:rsid w:val="009670C5"/>
    <w:rPr>
      <w:sz w:val="16"/>
      <w:szCs w:val="16"/>
    </w:rPr>
  </w:style>
  <w:style w:type="paragraph" w:styleId="CommentText">
    <w:name w:val="annotation text"/>
    <w:basedOn w:val="Normal"/>
    <w:link w:val="CommentTextChar"/>
    <w:uiPriority w:val="99"/>
    <w:semiHidden/>
    <w:unhideWhenUsed/>
    <w:rsid w:val="009670C5"/>
    <w:rPr>
      <w:sz w:val="20"/>
      <w:szCs w:val="20"/>
    </w:rPr>
  </w:style>
  <w:style w:type="character" w:customStyle="1" w:styleId="CommentTextChar">
    <w:name w:val="Comment Text Char"/>
    <w:link w:val="CommentText"/>
    <w:uiPriority w:val="99"/>
    <w:semiHidden/>
    <w:rsid w:val="009670C5"/>
    <w:rPr>
      <w:lang w:eastAsia="en-US"/>
    </w:rPr>
  </w:style>
  <w:style w:type="paragraph" w:styleId="CommentSubject">
    <w:name w:val="annotation subject"/>
    <w:basedOn w:val="CommentText"/>
    <w:next w:val="CommentText"/>
    <w:link w:val="CommentSubjectChar"/>
    <w:uiPriority w:val="99"/>
    <w:semiHidden/>
    <w:unhideWhenUsed/>
    <w:rsid w:val="009670C5"/>
    <w:rPr>
      <w:b/>
      <w:bCs/>
    </w:rPr>
  </w:style>
  <w:style w:type="character" w:customStyle="1" w:styleId="CommentSubjectChar">
    <w:name w:val="Comment Subject Char"/>
    <w:link w:val="CommentSubject"/>
    <w:uiPriority w:val="99"/>
    <w:semiHidden/>
    <w:rsid w:val="009670C5"/>
    <w:rPr>
      <w:b/>
      <w:bCs/>
      <w:lang w:eastAsia="en-US"/>
    </w:rPr>
  </w:style>
  <w:style w:type="paragraph" w:styleId="BalloonText">
    <w:name w:val="Balloon Text"/>
    <w:basedOn w:val="Normal"/>
    <w:link w:val="BalloonTextChar"/>
    <w:uiPriority w:val="99"/>
    <w:semiHidden/>
    <w:unhideWhenUsed/>
    <w:rsid w:val="009670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670C5"/>
    <w:rPr>
      <w:rFonts w:ascii="Tahoma" w:hAnsi="Tahoma" w:cs="Tahoma"/>
      <w:sz w:val="16"/>
      <w:szCs w:val="16"/>
      <w:lang w:eastAsia="en-US"/>
    </w:rPr>
  </w:style>
  <w:style w:type="character" w:customStyle="1" w:styleId="ListParagraphChar">
    <w:name w:val="List Paragraph Char"/>
    <w:aliases w:val="Dot pt Char,No Spacing1 Char,List Paragraph Char Char Char Char,Indicator Text Char,Numbered Para 1 Char,List Paragraph1 Char,Bullet Points Char,MAIN CONTENT Char,Bullet 1 Char,OBC Bullet Char,List Paragraph11 Char"/>
    <w:link w:val="ListParagraph"/>
    <w:uiPriority w:val="34"/>
    <w:qFormat/>
    <w:locked/>
    <w:rsid w:val="00EC339B"/>
    <w:rPr>
      <w:sz w:val="22"/>
      <w:szCs w:val="22"/>
      <w:lang w:eastAsia="en-US"/>
    </w:rPr>
  </w:style>
  <w:style w:type="paragraph" w:styleId="NoSpacing">
    <w:name w:val="No Spacing"/>
    <w:uiPriority w:val="1"/>
    <w:qFormat/>
    <w:rsid w:val="004F6617"/>
    <w:rPr>
      <w:sz w:val="22"/>
      <w:szCs w:val="22"/>
      <w:lang w:eastAsia="en-US"/>
    </w:rPr>
  </w:style>
  <w:style w:type="paragraph" w:styleId="NormalWeb">
    <w:name w:val="Normal (Web)"/>
    <w:basedOn w:val="Normal"/>
    <w:uiPriority w:val="99"/>
    <w:semiHidden/>
    <w:unhideWhenUsed/>
    <w:rsid w:val="00BC4700"/>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Numberedparas">
    <w:name w:val="Numbered paras"/>
    <w:basedOn w:val="ListParagraph"/>
    <w:qFormat/>
    <w:rsid w:val="000F5812"/>
    <w:pPr>
      <w:numPr>
        <w:numId w:val="2"/>
      </w:numPr>
      <w:spacing w:after="120"/>
      <w:contextualSpacing w:val="0"/>
    </w:pPr>
    <w:rPr>
      <w:rFonts w:ascii="Arial" w:hAnsi="Arial" w:cs="Arial"/>
      <w:sz w:val="24"/>
      <w:szCs w:val="24"/>
    </w:rPr>
  </w:style>
  <w:style w:type="table" w:customStyle="1" w:styleId="TableGrid1">
    <w:name w:val="Table Grid1"/>
    <w:basedOn w:val="TableNormal"/>
    <w:next w:val="TableGrid"/>
    <w:uiPriority w:val="59"/>
    <w:rsid w:val="00E438E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vkans">
    <w:name w:val="vk_ans"/>
    <w:rsid w:val="00CE081A"/>
  </w:style>
  <w:style w:type="paragraph" w:styleId="Revision">
    <w:name w:val="Revision"/>
    <w:hidden/>
    <w:uiPriority w:val="99"/>
    <w:semiHidden/>
    <w:rsid w:val="00937705"/>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8533">
      <w:bodyDiv w:val="1"/>
      <w:marLeft w:val="0"/>
      <w:marRight w:val="0"/>
      <w:marTop w:val="0"/>
      <w:marBottom w:val="0"/>
      <w:divBdr>
        <w:top w:val="none" w:sz="0" w:space="0" w:color="auto"/>
        <w:left w:val="none" w:sz="0" w:space="0" w:color="auto"/>
        <w:bottom w:val="none" w:sz="0" w:space="0" w:color="auto"/>
        <w:right w:val="none" w:sz="0" w:space="0" w:color="auto"/>
      </w:divBdr>
    </w:div>
    <w:div w:id="21127176">
      <w:bodyDiv w:val="1"/>
      <w:marLeft w:val="0"/>
      <w:marRight w:val="0"/>
      <w:marTop w:val="0"/>
      <w:marBottom w:val="0"/>
      <w:divBdr>
        <w:top w:val="none" w:sz="0" w:space="0" w:color="auto"/>
        <w:left w:val="none" w:sz="0" w:space="0" w:color="auto"/>
        <w:bottom w:val="none" w:sz="0" w:space="0" w:color="auto"/>
        <w:right w:val="none" w:sz="0" w:space="0" w:color="auto"/>
      </w:divBdr>
    </w:div>
    <w:div w:id="164563643">
      <w:bodyDiv w:val="1"/>
      <w:marLeft w:val="0"/>
      <w:marRight w:val="0"/>
      <w:marTop w:val="0"/>
      <w:marBottom w:val="0"/>
      <w:divBdr>
        <w:top w:val="none" w:sz="0" w:space="0" w:color="auto"/>
        <w:left w:val="none" w:sz="0" w:space="0" w:color="auto"/>
        <w:bottom w:val="none" w:sz="0" w:space="0" w:color="auto"/>
        <w:right w:val="none" w:sz="0" w:space="0" w:color="auto"/>
      </w:divBdr>
    </w:div>
    <w:div w:id="218320924">
      <w:bodyDiv w:val="1"/>
      <w:marLeft w:val="0"/>
      <w:marRight w:val="0"/>
      <w:marTop w:val="0"/>
      <w:marBottom w:val="0"/>
      <w:divBdr>
        <w:top w:val="none" w:sz="0" w:space="0" w:color="auto"/>
        <w:left w:val="none" w:sz="0" w:space="0" w:color="auto"/>
        <w:bottom w:val="none" w:sz="0" w:space="0" w:color="auto"/>
        <w:right w:val="none" w:sz="0" w:space="0" w:color="auto"/>
      </w:divBdr>
    </w:div>
    <w:div w:id="249461984">
      <w:bodyDiv w:val="1"/>
      <w:marLeft w:val="0"/>
      <w:marRight w:val="0"/>
      <w:marTop w:val="0"/>
      <w:marBottom w:val="0"/>
      <w:divBdr>
        <w:top w:val="none" w:sz="0" w:space="0" w:color="auto"/>
        <w:left w:val="none" w:sz="0" w:space="0" w:color="auto"/>
        <w:bottom w:val="none" w:sz="0" w:space="0" w:color="auto"/>
        <w:right w:val="none" w:sz="0" w:space="0" w:color="auto"/>
      </w:divBdr>
    </w:div>
    <w:div w:id="285504664">
      <w:bodyDiv w:val="1"/>
      <w:marLeft w:val="0"/>
      <w:marRight w:val="0"/>
      <w:marTop w:val="0"/>
      <w:marBottom w:val="0"/>
      <w:divBdr>
        <w:top w:val="none" w:sz="0" w:space="0" w:color="auto"/>
        <w:left w:val="none" w:sz="0" w:space="0" w:color="auto"/>
        <w:bottom w:val="none" w:sz="0" w:space="0" w:color="auto"/>
        <w:right w:val="none" w:sz="0" w:space="0" w:color="auto"/>
      </w:divBdr>
    </w:div>
    <w:div w:id="316810087">
      <w:bodyDiv w:val="1"/>
      <w:marLeft w:val="0"/>
      <w:marRight w:val="0"/>
      <w:marTop w:val="0"/>
      <w:marBottom w:val="0"/>
      <w:divBdr>
        <w:top w:val="none" w:sz="0" w:space="0" w:color="auto"/>
        <w:left w:val="none" w:sz="0" w:space="0" w:color="auto"/>
        <w:bottom w:val="none" w:sz="0" w:space="0" w:color="auto"/>
        <w:right w:val="none" w:sz="0" w:space="0" w:color="auto"/>
      </w:divBdr>
    </w:div>
    <w:div w:id="447236790">
      <w:bodyDiv w:val="1"/>
      <w:marLeft w:val="0"/>
      <w:marRight w:val="0"/>
      <w:marTop w:val="0"/>
      <w:marBottom w:val="0"/>
      <w:divBdr>
        <w:top w:val="none" w:sz="0" w:space="0" w:color="auto"/>
        <w:left w:val="none" w:sz="0" w:space="0" w:color="auto"/>
        <w:bottom w:val="none" w:sz="0" w:space="0" w:color="auto"/>
        <w:right w:val="none" w:sz="0" w:space="0" w:color="auto"/>
      </w:divBdr>
    </w:div>
    <w:div w:id="603999200">
      <w:bodyDiv w:val="1"/>
      <w:marLeft w:val="0"/>
      <w:marRight w:val="0"/>
      <w:marTop w:val="0"/>
      <w:marBottom w:val="0"/>
      <w:divBdr>
        <w:top w:val="none" w:sz="0" w:space="0" w:color="auto"/>
        <w:left w:val="none" w:sz="0" w:space="0" w:color="auto"/>
        <w:bottom w:val="none" w:sz="0" w:space="0" w:color="auto"/>
        <w:right w:val="none" w:sz="0" w:space="0" w:color="auto"/>
      </w:divBdr>
    </w:div>
    <w:div w:id="613294775">
      <w:bodyDiv w:val="1"/>
      <w:marLeft w:val="0"/>
      <w:marRight w:val="0"/>
      <w:marTop w:val="0"/>
      <w:marBottom w:val="0"/>
      <w:divBdr>
        <w:top w:val="none" w:sz="0" w:space="0" w:color="auto"/>
        <w:left w:val="none" w:sz="0" w:space="0" w:color="auto"/>
        <w:bottom w:val="none" w:sz="0" w:space="0" w:color="auto"/>
        <w:right w:val="none" w:sz="0" w:space="0" w:color="auto"/>
      </w:divBdr>
    </w:div>
    <w:div w:id="701439177">
      <w:bodyDiv w:val="1"/>
      <w:marLeft w:val="0"/>
      <w:marRight w:val="0"/>
      <w:marTop w:val="0"/>
      <w:marBottom w:val="0"/>
      <w:divBdr>
        <w:top w:val="none" w:sz="0" w:space="0" w:color="auto"/>
        <w:left w:val="none" w:sz="0" w:space="0" w:color="auto"/>
        <w:bottom w:val="none" w:sz="0" w:space="0" w:color="auto"/>
        <w:right w:val="none" w:sz="0" w:space="0" w:color="auto"/>
      </w:divBdr>
    </w:div>
    <w:div w:id="804085809">
      <w:bodyDiv w:val="1"/>
      <w:marLeft w:val="0"/>
      <w:marRight w:val="0"/>
      <w:marTop w:val="0"/>
      <w:marBottom w:val="0"/>
      <w:divBdr>
        <w:top w:val="none" w:sz="0" w:space="0" w:color="auto"/>
        <w:left w:val="none" w:sz="0" w:space="0" w:color="auto"/>
        <w:bottom w:val="none" w:sz="0" w:space="0" w:color="auto"/>
        <w:right w:val="none" w:sz="0" w:space="0" w:color="auto"/>
      </w:divBdr>
    </w:div>
    <w:div w:id="1028456744">
      <w:bodyDiv w:val="1"/>
      <w:marLeft w:val="0"/>
      <w:marRight w:val="0"/>
      <w:marTop w:val="0"/>
      <w:marBottom w:val="0"/>
      <w:divBdr>
        <w:top w:val="none" w:sz="0" w:space="0" w:color="auto"/>
        <w:left w:val="none" w:sz="0" w:space="0" w:color="auto"/>
        <w:bottom w:val="none" w:sz="0" w:space="0" w:color="auto"/>
        <w:right w:val="none" w:sz="0" w:space="0" w:color="auto"/>
      </w:divBdr>
    </w:div>
    <w:div w:id="1028530603">
      <w:bodyDiv w:val="1"/>
      <w:marLeft w:val="0"/>
      <w:marRight w:val="0"/>
      <w:marTop w:val="0"/>
      <w:marBottom w:val="0"/>
      <w:divBdr>
        <w:top w:val="none" w:sz="0" w:space="0" w:color="auto"/>
        <w:left w:val="none" w:sz="0" w:space="0" w:color="auto"/>
        <w:bottom w:val="none" w:sz="0" w:space="0" w:color="auto"/>
        <w:right w:val="none" w:sz="0" w:space="0" w:color="auto"/>
      </w:divBdr>
    </w:div>
    <w:div w:id="1093939897">
      <w:bodyDiv w:val="1"/>
      <w:marLeft w:val="0"/>
      <w:marRight w:val="0"/>
      <w:marTop w:val="0"/>
      <w:marBottom w:val="0"/>
      <w:divBdr>
        <w:top w:val="none" w:sz="0" w:space="0" w:color="auto"/>
        <w:left w:val="none" w:sz="0" w:space="0" w:color="auto"/>
        <w:bottom w:val="none" w:sz="0" w:space="0" w:color="auto"/>
        <w:right w:val="none" w:sz="0" w:space="0" w:color="auto"/>
      </w:divBdr>
    </w:div>
    <w:div w:id="1144203048">
      <w:bodyDiv w:val="1"/>
      <w:marLeft w:val="0"/>
      <w:marRight w:val="0"/>
      <w:marTop w:val="0"/>
      <w:marBottom w:val="0"/>
      <w:divBdr>
        <w:top w:val="none" w:sz="0" w:space="0" w:color="auto"/>
        <w:left w:val="none" w:sz="0" w:space="0" w:color="auto"/>
        <w:bottom w:val="none" w:sz="0" w:space="0" w:color="auto"/>
        <w:right w:val="none" w:sz="0" w:space="0" w:color="auto"/>
      </w:divBdr>
    </w:div>
    <w:div w:id="1145856243">
      <w:bodyDiv w:val="1"/>
      <w:marLeft w:val="0"/>
      <w:marRight w:val="0"/>
      <w:marTop w:val="0"/>
      <w:marBottom w:val="0"/>
      <w:divBdr>
        <w:top w:val="none" w:sz="0" w:space="0" w:color="auto"/>
        <w:left w:val="none" w:sz="0" w:space="0" w:color="auto"/>
        <w:bottom w:val="none" w:sz="0" w:space="0" w:color="auto"/>
        <w:right w:val="none" w:sz="0" w:space="0" w:color="auto"/>
      </w:divBdr>
    </w:div>
    <w:div w:id="1165709305">
      <w:bodyDiv w:val="1"/>
      <w:marLeft w:val="0"/>
      <w:marRight w:val="0"/>
      <w:marTop w:val="0"/>
      <w:marBottom w:val="0"/>
      <w:divBdr>
        <w:top w:val="none" w:sz="0" w:space="0" w:color="auto"/>
        <w:left w:val="none" w:sz="0" w:space="0" w:color="auto"/>
        <w:bottom w:val="none" w:sz="0" w:space="0" w:color="auto"/>
        <w:right w:val="none" w:sz="0" w:space="0" w:color="auto"/>
      </w:divBdr>
    </w:div>
    <w:div w:id="1178957758">
      <w:bodyDiv w:val="1"/>
      <w:marLeft w:val="0"/>
      <w:marRight w:val="0"/>
      <w:marTop w:val="0"/>
      <w:marBottom w:val="0"/>
      <w:divBdr>
        <w:top w:val="none" w:sz="0" w:space="0" w:color="auto"/>
        <w:left w:val="none" w:sz="0" w:space="0" w:color="auto"/>
        <w:bottom w:val="none" w:sz="0" w:space="0" w:color="auto"/>
        <w:right w:val="none" w:sz="0" w:space="0" w:color="auto"/>
      </w:divBdr>
    </w:div>
    <w:div w:id="1185091088">
      <w:bodyDiv w:val="1"/>
      <w:marLeft w:val="0"/>
      <w:marRight w:val="0"/>
      <w:marTop w:val="0"/>
      <w:marBottom w:val="0"/>
      <w:divBdr>
        <w:top w:val="none" w:sz="0" w:space="0" w:color="auto"/>
        <w:left w:val="none" w:sz="0" w:space="0" w:color="auto"/>
        <w:bottom w:val="none" w:sz="0" w:space="0" w:color="auto"/>
        <w:right w:val="none" w:sz="0" w:space="0" w:color="auto"/>
      </w:divBdr>
    </w:div>
    <w:div w:id="1411926035">
      <w:bodyDiv w:val="1"/>
      <w:marLeft w:val="0"/>
      <w:marRight w:val="0"/>
      <w:marTop w:val="0"/>
      <w:marBottom w:val="0"/>
      <w:divBdr>
        <w:top w:val="none" w:sz="0" w:space="0" w:color="auto"/>
        <w:left w:val="none" w:sz="0" w:space="0" w:color="auto"/>
        <w:bottom w:val="none" w:sz="0" w:space="0" w:color="auto"/>
        <w:right w:val="none" w:sz="0" w:space="0" w:color="auto"/>
      </w:divBdr>
    </w:div>
    <w:div w:id="1425540515">
      <w:bodyDiv w:val="1"/>
      <w:marLeft w:val="0"/>
      <w:marRight w:val="0"/>
      <w:marTop w:val="0"/>
      <w:marBottom w:val="0"/>
      <w:divBdr>
        <w:top w:val="none" w:sz="0" w:space="0" w:color="auto"/>
        <w:left w:val="none" w:sz="0" w:space="0" w:color="auto"/>
        <w:bottom w:val="none" w:sz="0" w:space="0" w:color="auto"/>
        <w:right w:val="none" w:sz="0" w:space="0" w:color="auto"/>
      </w:divBdr>
      <w:divsChild>
        <w:div w:id="847446648">
          <w:marLeft w:val="547"/>
          <w:marRight w:val="0"/>
          <w:marTop w:val="96"/>
          <w:marBottom w:val="0"/>
          <w:divBdr>
            <w:top w:val="none" w:sz="0" w:space="0" w:color="auto"/>
            <w:left w:val="none" w:sz="0" w:space="0" w:color="auto"/>
            <w:bottom w:val="none" w:sz="0" w:space="0" w:color="auto"/>
            <w:right w:val="none" w:sz="0" w:space="0" w:color="auto"/>
          </w:divBdr>
        </w:div>
        <w:div w:id="1355376253">
          <w:marLeft w:val="547"/>
          <w:marRight w:val="0"/>
          <w:marTop w:val="96"/>
          <w:marBottom w:val="0"/>
          <w:divBdr>
            <w:top w:val="none" w:sz="0" w:space="0" w:color="auto"/>
            <w:left w:val="none" w:sz="0" w:space="0" w:color="auto"/>
            <w:bottom w:val="none" w:sz="0" w:space="0" w:color="auto"/>
            <w:right w:val="none" w:sz="0" w:space="0" w:color="auto"/>
          </w:divBdr>
        </w:div>
        <w:div w:id="1974017284">
          <w:marLeft w:val="1166"/>
          <w:marRight w:val="0"/>
          <w:marTop w:val="96"/>
          <w:marBottom w:val="0"/>
          <w:divBdr>
            <w:top w:val="none" w:sz="0" w:space="0" w:color="auto"/>
            <w:left w:val="none" w:sz="0" w:space="0" w:color="auto"/>
            <w:bottom w:val="none" w:sz="0" w:space="0" w:color="auto"/>
            <w:right w:val="none" w:sz="0" w:space="0" w:color="auto"/>
          </w:divBdr>
        </w:div>
        <w:div w:id="793906317">
          <w:marLeft w:val="1166"/>
          <w:marRight w:val="0"/>
          <w:marTop w:val="96"/>
          <w:marBottom w:val="0"/>
          <w:divBdr>
            <w:top w:val="none" w:sz="0" w:space="0" w:color="auto"/>
            <w:left w:val="none" w:sz="0" w:space="0" w:color="auto"/>
            <w:bottom w:val="none" w:sz="0" w:space="0" w:color="auto"/>
            <w:right w:val="none" w:sz="0" w:space="0" w:color="auto"/>
          </w:divBdr>
        </w:div>
        <w:div w:id="420175544">
          <w:marLeft w:val="547"/>
          <w:marRight w:val="0"/>
          <w:marTop w:val="96"/>
          <w:marBottom w:val="0"/>
          <w:divBdr>
            <w:top w:val="none" w:sz="0" w:space="0" w:color="auto"/>
            <w:left w:val="none" w:sz="0" w:space="0" w:color="auto"/>
            <w:bottom w:val="none" w:sz="0" w:space="0" w:color="auto"/>
            <w:right w:val="none" w:sz="0" w:space="0" w:color="auto"/>
          </w:divBdr>
        </w:div>
        <w:div w:id="1537233268">
          <w:marLeft w:val="1166"/>
          <w:marRight w:val="0"/>
          <w:marTop w:val="96"/>
          <w:marBottom w:val="0"/>
          <w:divBdr>
            <w:top w:val="none" w:sz="0" w:space="0" w:color="auto"/>
            <w:left w:val="none" w:sz="0" w:space="0" w:color="auto"/>
            <w:bottom w:val="none" w:sz="0" w:space="0" w:color="auto"/>
            <w:right w:val="none" w:sz="0" w:space="0" w:color="auto"/>
          </w:divBdr>
        </w:div>
        <w:div w:id="7997623">
          <w:marLeft w:val="547"/>
          <w:marRight w:val="0"/>
          <w:marTop w:val="96"/>
          <w:marBottom w:val="0"/>
          <w:divBdr>
            <w:top w:val="none" w:sz="0" w:space="0" w:color="auto"/>
            <w:left w:val="none" w:sz="0" w:space="0" w:color="auto"/>
            <w:bottom w:val="none" w:sz="0" w:space="0" w:color="auto"/>
            <w:right w:val="none" w:sz="0" w:space="0" w:color="auto"/>
          </w:divBdr>
        </w:div>
        <w:div w:id="1632705677">
          <w:marLeft w:val="547"/>
          <w:marRight w:val="0"/>
          <w:marTop w:val="96"/>
          <w:marBottom w:val="0"/>
          <w:divBdr>
            <w:top w:val="none" w:sz="0" w:space="0" w:color="auto"/>
            <w:left w:val="none" w:sz="0" w:space="0" w:color="auto"/>
            <w:bottom w:val="none" w:sz="0" w:space="0" w:color="auto"/>
            <w:right w:val="none" w:sz="0" w:space="0" w:color="auto"/>
          </w:divBdr>
        </w:div>
        <w:div w:id="1309703256">
          <w:marLeft w:val="547"/>
          <w:marRight w:val="0"/>
          <w:marTop w:val="96"/>
          <w:marBottom w:val="0"/>
          <w:divBdr>
            <w:top w:val="none" w:sz="0" w:space="0" w:color="auto"/>
            <w:left w:val="none" w:sz="0" w:space="0" w:color="auto"/>
            <w:bottom w:val="none" w:sz="0" w:space="0" w:color="auto"/>
            <w:right w:val="none" w:sz="0" w:space="0" w:color="auto"/>
          </w:divBdr>
        </w:div>
        <w:div w:id="1447120675">
          <w:marLeft w:val="1166"/>
          <w:marRight w:val="0"/>
          <w:marTop w:val="96"/>
          <w:marBottom w:val="0"/>
          <w:divBdr>
            <w:top w:val="none" w:sz="0" w:space="0" w:color="auto"/>
            <w:left w:val="none" w:sz="0" w:space="0" w:color="auto"/>
            <w:bottom w:val="none" w:sz="0" w:space="0" w:color="auto"/>
            <w:right w:val="none" w:sz="0" w:space="0" w:color="auto"/>
          </w:divBdr>
        </w:div>
        <w:div w:id="48236233">
          <w:marLeft w:val="547"/>
          <w:marRight w:val="0"/>
          <w:marTop w:val="96"/>
          <w:marBottom w:val="0"/>
          <w:divBdr>
            <w:top w:val="none" w:sz="0" w:space="0" w:color="auto"/>
            <w:left w:val="none" w:sz="0" w:space="0" w:color="auto"/>
            <w:bottom w:val="none" w:sz="0" w:space="0" w:color="auto"/>
            <w:right w:val="none" w:sz="0" w:space="0" w:color="auto"/>
          </w:divBdr>
        </w:div>
      </w:divsChild>
    </w:div>
    <w:div w:id="1517887171">
      <w:bodyDiv w:val="1"/>
      <w:marLeft w:val="0"/>
      <w:marRight w:val="0"/>
      <w:marTop w:val="0"/>
      <w:marBottom w:val="0"/>
      <w:divBdr>
        <w:top w:val="none" w:sz="0" w:space="0" w:color="auto"/>
        <w:left w:val="none" w:sz="0" w:space="0" w:color="auto"/>
        <w:bottom w:val="none" w:sz="0" w:space="0" w:color="auto"/>
        <w:right w:val="none" w:sz="0" w:space="0" w:color="auto"/>
      </w:divBdr>
    </w:div>
    <w:div w:id="1525441275">
      <w:bodyDiv w:val="1"/>
      <w:marLeft w:val="0"/>
      <w:marRight w:val="0"/>
      <w:marTop w:val="0"/>
      <w:marBottom w:val="0"/>
      <w:divBdr>
        <w:top w:val="none" w:sz="0" w:space="0" w:color="auto"/>
        <w:left w:val="none" w:sz="0" w:space="0" w:color="auto"/>
        <w:bottom w:val="none" w:sz="0" w:space="0" w:color="auto"/>
        <w:right w:val="none" w:sz="0" w:space="0" w:color="auto"/>
      </w:divBdr>
    </w:div>
    <w:div w:id="1607494839">
      <w:bodyDiv w:val="1"/>
      <w:marLeft w:val="0"/>
      <w:marRight w:val="0"/>
      <w:marTop w:val="0"/>
      <w:marBottom w:val="0"/>
      <w:divBdr>
        <w:top w:val="none" w:sz="0" w:space="0" w:color="auto"/>
        <w:left w:val="none" w:sz="0" w:space="0" w:color="auto"/>
        <w:bottom w:val="none" w:sz="0" w:space="0" w:color="auto"/>
        <w:right w:val="none" w:sz="0" w:space="0" w:color="auto"/>
      </w:divBdr>
      <w:divsChild>
        <w:div w:id="880240600">
          <w:marLeft w:val="0"/>
          <w:marRight w:val="0"/>
          <w:marTop w:val="0"/>
          <w:marBottom w:val="0"/>
          <w:divBdr>
            <w:top w:val="none" w:sz="0" w:space="0" w:color="auto"/>
            <w:left w:val="none" w:sz="0" w:space="0" w:color="auto"/>
            <w:bottom w:val="none" w:sz="0" w:space="0" w:color="auto"/>
            <w:right w:val="none" w:sz="0" w:space="0" w:color="auto"/>
          </w:divBdr>
          <w:divsChild>
            <w:div w:id="1242913766">
              <w:marLeft w:val="0"/>
              <w:marRight w:val="0"/>
              <w:marTop w:val="0"/>
              <w:marBottom w:val="0"/>
              <w:divBdr>
                <w:top w:val="none" w:sz="0" w:space="0" w:color="auto"/>
                <w:left w:val="none" w:sz="0" w:space="0" w:color="auto"/>
                <w:bottom w:val="none" w:sz="0" w:space="0" w:color="auto"/>
                <w:right w:val="none" w:sz="0" w:space="0" w:color="auto"/>
              </w:divBdr>
              <w:divsChild>
                <w:div w:id="1820413709">
                  <w:marLeft w:val="0"/>
                  <w:marRight w:val="0"/>
                  <w:marTop w:val="0"/>
                  <w:marBottom w:val="0"/>
                  <w:divBdr>
                    <w:top w:val="none" w:sz="0" w:space="0" w:color="auto"/>
                    <w:left w:val="none" w:sz="0" w:space="0" w:color="auto"/>
                    <w:bottom w:val="none" w:sz="0" w:space="0" w:color="auto"/>
                    <w:right w:val="none" w:sz="0" w:space="0" w:color="auto"/>
                  </w:divBdr>
                  <w:divsChild>
                    <w:div w:id="353771358">
                      <w:marLeft w:val="0"/>
                      <w:marRight w:val="0"/>
                      <w:marTop w:val="0"/>
                      <w:marBottom w:val="0"/>
                      <w:divBdr>
                        <w:top w:val="none" w:sz="0" w:space="0" w:color="auto"/>
                        <w:left w:val="none" w:sz="0" w:space="0" w:color="auto"/>
                        <w:bottom w:val="none" w:sz="0" w:space="0" w:color="auto"/>
                        <w:right w:val="none" w:sz="0" w:space="0" w:color="auto"/>
                      </w:divBdr>
                      <w:divsChild>
                        <w:div w:id="1830439738">
                          <w:marLeft w:val="0"/>
                          <w:marRight w:val="0"/>
                          <w:marTop w:val="45"/>
                          <w:marBottom w:val="0"/>
                          <w:divBdr>
                            <w:top w:val="none" w:sz="0" w:space="0" w:color="auto"/>
                            <w:left w:val="none" w:sz="0" w:space="0" w:color="auto"/>
                            <w:bottom w:val="none" w:sz="0" w:space="0" w:color="auto"/>
                            <w:right w:val="none" w:sz="0" w:space="0" w:color="auto"/>
                          </w:divBdr>
                          <w:divsChild>
                            <w:div w:id="144048971">
                              <w:marLeft w:val="0"/>
                              <w:marRight w:val="0"/>
                              <w:marTop w:val="0"/>
                              <w:marBottom w:val="0"/>
                              <w:divBdr>
                                <w:top w:val="none" w:sz="0" w:space="0" w:color="auto"/>
                                <w:left w:val="none" w:sz="0" w:space="0" w:color="auto"/>
                                <w:bottom w:val="none" w:sz="0" w:space="0" w:color="auto"/>
                                <w:right w:val="none" w:sz="0" w:space="0" w:color="auto"/>
                              </w:divBdr>
                              <w:divsChild>
                                <w:div w:id="108360499">
                                  <w:marLeft w:val="2070"/>
                                  <w:marRight w:val="3810"/>
                                  <w:marTop w:val="0"/>
                                  <w:marBottom w:val="0"/>
                                  <w:divBdr>
                                    <w:top w:val="none" w:sz="0" w:space="0" w:color="auto"/>
                                    <w:left w:val="none" w:sz="0" w:space="0" w:color="auto"/>
                                    <w:bottom w:val="none" w:sz="0" w:space="0" w:color="auto"/>
                                    <w:right w:val="none" w:sz="0" w:space="0" w:color="auto"/>
                                  </w:divBdr>
                                  <w:divsChild>
                                    <w:div w:id="1916546708">
                                      <w:marLeft w:val="0"/>
                                      <w:marRight w:val="0"/>
                                      <w:marTop w:val="0"/>
                                      <w:marBottom w:val="0"/>
                                      <w:divBdr>
                                        <w:top w:val="none" w:sz="0" w:space="0" w:color="auto"/>
                                        <w:left w:val="none" w:sz="0" w:space="0" w:color="auto"/>
                                        <w:bottom w:val="none" w:sz="0" w:space="0" w:color="auto"/>
                                        <w:right w:val="none" w:sz="0" w:space="0" w:color="auto"/>
                                      </w:divBdr>
                                      <w:divsChild>
                                        <w:div w:id="1355958560">
                                          <w:marLeft w:val="0"/>
                                          <w:marRight w:val="0"/>
                                          <w:marTop w:val="0"/>
                                          <w:marBottom w:val="0"/>
                                          <w:divBdr>
                                            <w:top w:val="none" w:sz="0" w:space="0" w:color="auto"/>
                                            <w:left w:val="none" w:sz="0" w:space="0" w:color="auto"/>
                                            <w:bottom w:val="none" w:sz="0" w:space="0" w:color="auto"/>
                                            <w:right w:val="none" w:sz="0" w:space="0" w:color="auto"/>
                                          </w:divBdr>
                                          <w:divsChild>
                                            <w:div w:id="128897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36706573">
      <w:bodyDiv w:val="1"/>
      <w:marLeft w:val="0"/>
      <w:marRight w:val="0"/>
      <w:marTop w:val="0"/>
      <w:marBottom w:val="0"/>
      <w:divBdr>
        <w:top w:val="none" w:sz="0" w:space="0" w:color="auto"/>
        <w:left w:val="none" w:sz="0" w:space="0" w:color="auto"/>
        <w:bottom w:val="none" w:sz="0" w:space="0" w:color="auto"/>
        <w:right w:val="none" w:sz="0" w:space="0" w:color="auto"/>
      </w:divBdr>
    </w:div>
    <w:div w:id="1753233075">
      <w:bodyDiv w:val="1"/>
      <w:marLeft w:val="0"/>
      <w:marRight w:val="0"/>
      <w:marTop w:val="0"/>
      <w:marBottom w:val="0"/>
      <w:divBdr>
        <w:top w:val="none" w:sz="0" w:space="0" w:color="auto"/>
        <w:left w:val="none" w:sz="0" w:space="0" w:color="auto"/>
        <w:bottom w:val="none" w:sz="0" w:space="0" w:color="auto"/>
        <w:right w:val="none" w:sz="0" w:space="0" w:color="auto"/>
      </w:divBdr>
    </w:div>
    <w:div w:id="1821581539">
      <w:bodyDiv w:val="1"/>
      <w:marLeft w:val="0"/>
      <w:marRight w:val="0"/>
      <w:marTop w:val="0"/>
      <w:marBottom w:val="0"/>
      <w:divBdr>
        <w:top w:val="none" w:sz="0" w:space="0" w:color="auto"/>
        <w:left w:val="none" w:sz="0" w:space="0" w:color="auto"/>
        <w:bottom w:val="none" w:sz="0" w:space="0" w:color="auto"/>
        <w:right w:val="none" w:sz="0" w:space="0" w:color="auto"/>
      </w:divBdr>
    </w:div>
    <w:div w:id="19200911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F748BE-71BE-4F56-A402-649C57738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DE82F597</Template>
  <TotalTime>0</TotalTime>
  <Pages>4</Pages>
  <Words>1377</Words>
  <Characters>7850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DECC</Company>
  <LinksUpToDate>false</LinksUpToDate>
  <CharactersWithSpaces>9209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Rhampton</dc:creator>
  <cp:lastModifiedBy>Crow Helena (Fuel Poverty &amp; Smart Meters)</cp:lastModifiedBy>
  <cp:revision>2</cp:revision>
  <cp:lastPrinted>2013-10-18T13:50:00Z</cp:lastPrinted>
  <dcterms:created xsi:type="dcterms:W3CDTF">2013-11-11T16:55:00Z</dcterms:created>
  <dcterms:modified xsi:type="dcterms:W3CDTF">2013-11-11T16:55:00Z</dcterms:modified>
</cp:coreProperties>
</file>